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D40650" w:rsidRPr="00A3360C" w14:paraId="4A64FEA9" w14:textId="77777777" w:rsidTr="00F1356E">
        <w:trPr>
          <w:trHeight w:val="843"/>
        </w:trPr>
        <w:tc>
          <w:tcPr>
            <w:tcW w:w="5387" w:type="dxa"/>
            <w:shd w:val="clear" w:color="auto" w:fill="auto"/>
          </w:tcPr>
          <w:p w14:paraId="483EB180" w14:textId="77777777" w:rsidR="00D40650" w:rsidRPr="00A3360C" w:rsidRDefault="00D40650" w:rsidP="00F1356E">
            <w:pPr>
              <w:pStyle w:val="TableContents"/>
              <w:spacing w:line="240" w:lineRule="auto"/>
              <w:rPr>
                <w:b/>
              </w:rPr>
            </w:pPr>
            <w:bookmarkStart w:id="1" w:name="_Hlk170463185"/>
          </w:p>
        </w:tc>
        <w:tc>
          <w:tcPr>
            <w:tcW w:w="3685" w:type="dxa"/>
            <w:shd w:val="clear" w:color="auto" w:fill="auto"/>
          </w:tcPr>
          <w:p w14:paraId="282C6680" w14:textId="634295E3" w:rsidR="00F1356E" w:rsidRPr="00A3360C" w:rsidRDefault="00F1356E" w:rsidP="00EE7E6B">
            <w:pPr>
              <w:spacing w:line="240" w:lineRule="auto"/>
              <w:jc w:val="right"/>
            </w:pPr>
          </w:p>
        </w:tc>
      </w:tr>
      <w:tr w:rsidR="00F1356E" w:rsidRPr="00A3360C" w14:paraId="6140F11C" w14:textId="77777777" w:rsidTr="00F1356E">
        <w:trPr>
          <w:trHeight w:val="843"/>
        </w:trPr>
        <w:tc>
          <w:tcPr>
            <w:tcW w:w="5387" w:type="dxa"/>
            <w:shd w:val="clear" w:color="auto" w:fill="auto"/>
          </w:tcPr>
          <w:p w14:paraId="1F8A8226" w14:textId="77777777" w:rsidR="00F1356E" w:rsidRPr="00A3360C" w:rsidRDefault="00F1356E" w:rsidP="00F1356E">
            <w:pPr>
              <w:pStyle w:val="TableContents"/>
              <w:spacing w:line="240" w:lineRule="auto"/>
              <w:rPr>
                <w:b/>
                <w:noProof/>
                <w:lang w:eastAsia="et-EE" w:bidi="ar-SA"/>
              </w:rPr>
            </w:pPr>
          </w:p>
        </w:tc>
        <w:tc>
          <w:tcPr>
            <w:tcW w:w="3685" w:type="dxa"/>
            <w:shd w:val="clear" w:color="auto" w:fill="auto"/>
          </w:tcPr>
          <w:p w14:paraId="1FAF9CBC" w14:textId="012B891D" w:rsidR="00F1356E" w:rsidRPr="00A3360C" w:rsidRDefault="00802F9A" w:rsidP="00210963">
            <w:pPr>
              <w:spacing w:line="240" w:lineRule="auto"/>
              <w:jc w:val="right"/>
            </w:pPr>
            <w:r w:rsidRPr="00A3360C">
              <w:t>Transpordiameti</w:t>
            </w:r>
            <w:r w:rsidR="00B044A7" w:rsidRPr="00A3360C">
              <w:t xml:space="preserve"> korralduse „</w:t>
            </w:r>
            <w:r w:rsidR="00071AAA" w:rsidRPr="00A3360C">
              <w:t>Tee ehitusloa andmine Rail Baltica Kangru liiklussõlme rajamiseks ja keskkonnamõju hindamise algatamata jätmine</w:t>
            </w:r>
            <w:r w:rsidR="007261C6" w:rsidRPr="00A3360C">
              <w:t>“</w:t>
            </w:r>
            <w:r w:rsidR="00B044A7" w:rsidRPr="00A3360C">
              <w:t xml:space="preserve"> </w:t>
            </w:r>
          </w:p>
          <w:p w14:paraId="0AC467EB" w14:textId="77777777" w:rsidR="00E16278" w:rsidRPr="00A3360C" w:rsidRDefault="00E16278" w:rsidP="00E16278">
            <w:pPr>
              <w:spacing w:line="240" w:lineRule="auto"/>
              <w:jc w:val="right"/>
            </w:pPr>
          </w:p>
          <w:p w14:paraId="78AEB41F" w14:textId="5DCC8984" w:rsidR="00F1356E" w:rsidRPr="00A3360C" w:rsidRDefault="00974B2E" w:rsidP="00E16278">
            <w:pPr>
              <w:spacing w:line="240" w:lineRule="auto"/>
              <w:jc w:val="right"/>
            </w:pPr>
            <w:r w:rsidRPr="00A3360C">
              <w:t>lisa</w:t>
            </w:r>
            <w:r w:rsidR="00B044A7" w:rsidRPr="00A3360C">
              <w:t xml:space="preserve"> 1</w:t>
            </w:r>
          </w:p>
        </w:tc>
      </w:tr>
    </w:tbl>
    <w:p w14:paraId="136EB616" w14:textId="77777777" w:rsidR="00F1356E" w:rsidRPr="00A3360C" w:rsidRDefault="00F1356E" w:rsidP="00F1356E">
      <w:pPr>
        <w:pStyle w:val="allikirjastajanimi"/>
        <w:jc w:val="center"/>
        <w:rPr>
          <w:b/>
          <w:bCs/>
        </w:rPr>
      </w:pPr>
    </w:p>
    <w:p w14:paraId="194C2796" w14:textId="77777777" w:rsidR="00F1356E" w:rsidRPr="00A3360C" w:rsidRDefault="00F1356E" w:rsidP="00F1356E">
      <w:pPr>
        <w:pStyle w:val="allikirjastajanimi"/>
        <w:jc w:val="center"/>
      </w:pPr>
      <w:r w:rsidRPr="00A3360C">
        <w:rPr>
          <w:b/>
          <w:bCs/>
        </w:rPr>
        <w:t>TEE EHITUSLUBA</w:t>
      </w:r>
    </w:p>
    <w:p w14:paraId="199764CF" w14:textId="77777777" w:rsidR="00F1356E" w:rsidRPr="00A3360C" w:rsidRDefault="00F1356E" w:rsidP="00F1356E">
      <w:pPr>
        <w:pStyle w:val="allikirjastajanimi"/>
      </w:pPr>
    </w:p>
    <w:tbl>
      <w:tblPr>
        <w:tblW w:w="0" w:type="auto"/>
        <w:tblInd w:w="1" w:type="dxa"/>
        <w:tblLayout w:type="fixed"/>
        <w:tblCellMar>
          <w:left w:w="0" w:type="dxa"/>
          <w:right w:w="0" w:type="dxa"/>
        </w:tblCellMar>
        <w:tblLook w:val="04A0" w:firstRow="1" w:lastRow="0" w:firstColumn="1" w:lastColumn="0" w:noHBand="0" w:noVBand="1"/>
      </w:tblPr>
      <w:tblGrid>
        <w:gridCol w:w="4320"/>
        <w:gridCol w:w="4320"/>
      </w:tblGrid>
      <w:tr w:rsidR="00F1356E" w:rsidRPr="00A3360C" w14:paraId="1125387C" w14:textId="77777777" w:rsidTr="0012458D">
        <w:trPr>
          <w:trHeight w:val="276"/>
        </w:trPr>
        <w:tc>
          <w:tcPr>
            <w:tcW w:w="4320" w:type="dxa"/>
            <w:tcBorders>
              <w:top w:val="nil"/>
              <w:left w:val="nil"/>
              <w:bottom w:val="nil"/>
              <w:right w:val="single" w:sz="8" w:space="0" w:color="auto"/>
            </w:tcBorders>
            <w:vAlign w:val="center"/>
            <w:hideMark/>
          </w:tcPr>
          <w:p w14:paraId="60031F55" w14:textId="09CD95A0" w:rsidR="00F1356E" w:rsidRPr="00A3360C" w:rsidRDefault="00D94896" w:rsidP="00F1356E">
            <w:pPr>
              <w:pStyle w:val="allikirjastajanimi"/>
            </w:pPr>
            <w:sdt>
              <w:sdtPr>
                <w:rPr>
                  <w:shd w:val="clear" w:color="auto" w:fill="FFFFFF"/>
                </w:rPr>
                <w:id w:val="856238496"/>
                <w14:checkbox>
                  <w14:checked w14:val="1"/>
                  <w14:checkedState w14:val="2612" w14:font="MS Gothic"/>
                  <w14:uncheckedState w14:val="2610" w14:font="MS Gothic"/>
                </w14:checkbox>
              </w:sdtPr>
              <w:sdtEndPr/>
              <w:sdtContent>
                <w:r w:rsidR="00071AAA" w:rsidRPr="00A3360C">
                  <w:rPr>
                    <w:rFonts w:ascii="Segoe UI Symbol" w:eastAsia="MS Gothic" w:hAnsi="Segoe UI Symbol" w:cs="Segoe UI Symbol"/>
                    <w:shd w:val="clear" w:color="auto" w:fill="FFFFFF"/>
                  </w:rPr>
                  <w:t>☒</w:t>
                </w:r>
              </w:sdtContent>
            </w:sdt>
            <w:r w:rsidR="00862205" w:rsidRPr="00A3360C">
              <w:t xml:space="preserve"> </w:t>
            </w:r>
            <w:r w:rsidR="00F1356E" w:rsidRPr="00A3360C">
              <w:t>avalikult kasutatav tee</w:t>
            </w:r>
          </w:p>
        </w:tc>
        <w:tc>
          <w:tcPr>
            <w:tcW w:w="4320" w:type="dxa"/>
            <w:vAlign w:val="center"/>
            <w:hideMark/>
          </w:tcPr>
          <w:p w14:paraId="72D5DA51" w14:textId="0DC0996C" w:rsidR="00F1356E" w:rsidRPr="00A3360C" w:rsidRDefault="00842631" w:rsidP="00F1356E">
            <w:pPr>
              <w:pStyle w:val="allikirjastajanimi"/>
            </w:pPr>
            <w:r w:rsidRPr="00A3360C">
              <w:t xml:space="preserve"> </w:t>
            </w:r>
            <w:sdt>
              <w:sdtPr>
                <w:rPr>
                  <w:shd w:val="clear" w:color="auto" w:fill="FFFFFF"/>
                </w:rPr>
                <w:id w:val="2141758386"/>
                <w14:checkbox>
                  <w14:checked w14:val="1"/>
                  <w14:checkedState w14:val="2612" w14:font="MS Gothic"/>
                  <w14:uncheckedState w14:val="2610" w14:font="MS Gothic"/>
                </w14:checkbox>
              </w:sdtPr>
              <w:sdtEndPr/>
              <w:sdtContent>
                <w:r w:rsidR="00071AAA" w:rsidRPr="00A3360C">
                  <w:rPr>
                    <w:rFonts w:ascii="Segoe UI Symbol" w:eastAsia="MS Gothic" w:hAnsi="Segoe UI Symbol" w:cs="Segoe UI Symbol"/>
                    <w:shd w:val="clear" w:color="auto" w:fill="FFFFFF"/>
                  </w:rPr>
                  <w:t>☒</w:t>
                </w:r>
              </w:sdtContent>
            </w:sdt>
            <w:r w:rsidR="00B256BD" w:rsidRPr="00A3360C">
              <w:t xml:space="preserve"> </w:t>
            </w:r>
            <w:r w:rsidR="00F1356E" w:rsidRPr="00A3360C">
              <w:t>rajamiseks</w:t>
            </w:r>
          </w:p>
        </w:tc>
      </w:tr>
      <w:tr w:rsidR="00F1356E" w:rsidRPr="00A3360C" w14:paraId="5017A4A6" w14:textId="77777777" w:rsidTr="0012458D">
        <w:trPr>
          <w:trHeight w:val="276"/>
        </w:trPr>
        <w:tc>
          <w:tcPr>
            <w:tcW w:w="4320" w:type="dxa"/>
            <w:tcBorders>
              <w:top w:val="nil"/>
              <w:left w:val="nil"/>
              <w:bottom w:val="nil"/>
              <w:right w:val="single" w:sz="8" w:space="0" w:color="auto"/>
            </w:tcBorders>
            <w:vAlign w:val="center"/>
            <w:hideMark/>
          </w:tcPr>
          <w:p w14:paraId="5BF4A59E" w14:textId="77777777" w:rsidR="00F1356E" w:rsidRPr="00A3360C" w:rsidRDefault="00D94896" w:rsidP="00F1356E">
            <w:pPr>
              <w:pStyle w:val="allikirjastajanimi"/>
            </w:pPr>
            <w:sdt>
              <w:sdtPr>
                <w:rPr>
                  <w:shd w:val="clear" w:color="auto" w:fill="FFFFFF"/>
                </w:rPr>
                <w:id w:val="2116477272"/>
                <w14:checkbox>
                  <w14:checked w14:val="0"/>
                  <w14:checkedState w14:val="2612" w14:font="MS Gothic"/>
                  <w14:uncheckedState w14:val="2610" w14:font="MS Gothic"/>
                </w14:checkbox>
              </w:sdtPr>
              <w:sdtEndPr/>
              <w:sdtContent>
                <w:r w:rsidR="00862205" w:rsidRPr="00A3360C">
                  <w:rPr>
                    <w:rFonts w:ascii="Segoe UI Symbol" w:eastAsia="MS Gothic" w:hAnsi="Segoe UI Symbol" w:cs="Segoe UI Symbol"/>
                    <w:shd w:val="clear" w:color="auto" w:fill="FFFFFF"/>
                  </w:rPr>
                  <w:t>☐</w:t>
                </w:r>
              </w:sdtContent>
            </w:sdt>
            <w:r w:rsidR="00862205" w:rsidRPr="00A3360C">
              <w:t xml:space="preserve"> </w:t>
            </w:r>
            <w:r w:rsidR="00F1356E" w:rsidRPr="00A3360C">
              <w:t>avalikkusele ligipääsetav eratee</w:t>
            </w:r>
          </w:p>
        </w:tc>
        <w:tc>
          <w:tcPr>
            <w:tcW w:w="4320" w:type="dxa"/>
            <w:vAlign w:val="center"/>
            <w:hideMark/>
          </w:tcPr>
          <w:p w14:paraId="53827D8E" w14:textId="3889EB6E" w:rsidR="00F1356E" w:rsidRPr="00A3360C" w:rsidRDefault="00842631" w:rsidP="00F1356E">
            <w:pPr>
              <w:pStyle w:val="allikirjastajanimi"/>
            </w:pPr>
            <w:r w:rsidRPr="00A3360C">
              <w:t xml:space="preserve"> </w:t>
            </w:r>
            <w:sdt>
              <w:sdtPr>
                <w:rPr>
                  <w:shd w:val="clear" w:color="auto" w:fill="FFFFFF"/>
                </w:rPr>
                <w:id w:val="-1276940427"/>
                <w14:checkbox>
                  <w14:checked w14:val="1"/>
                  <w14:checkedState w14:val="2612" w14:font="MS Gothic"/>
                  <w14:uncheckedState w14:val="2610" w14:font="MS Gothic"/>
                </w14:checkbox>
              </w:sdtPr>
              <w:sdtEndPr/>
              <w:sdtContent>
                <w:r w:rsidR="00EF02DA">
                  <w:rPr>
                    <w:rFonts w:ascii="MS Gothic" w:eastAsia="MS Gothic" w:hAnsi="MS Gothic" w:hint="eastAsia"/>
                    <w:shd w:val="clear" w:color="auto" w:fill="FFFFFF"/>
                  </w:rPr>
                  <w:t>☒</w:t>
                </w:r>
              </w:sdtContent>
            </w:sdt>
            <w:r w:rsidR="00862205" w:rsidRPr="00A3360C">
              <w:t xml:space="preserve"> </w:t>
            </w:r>
            <w:r w:rsidR="00F1356E" w:rsidRPr="00A3360C">
              <w:t>ümberehitamiseks</w:t>
            </w:r>
          </w:p>
        </w:tc>
      </w:tr>
      <w:tr w:rsidR="00F1356E" w:rsidRPr="00A3360C" w14:paraId="00F4BEB4" w14:textId="77777777" w:rsidTr="0012458D">
        <w:trPr>
          <w:trHeight w:val="276"/>
        </w:trPr>
        <w:tc>
          <w:tcPr>
            <w:tcW w:w="4320" w:type="dxa"/>
            <w:tcBorders>
              <w:top w:val="nil"/>
              <w:left w:val="nil"/>
              <w:bottom w:val="nil"/>
              <w:right w:val="single" w:sz="8" w:space="0" w:color="auto"/>
            </w:tcBorders>
            <w:vAlign w:val="center"/>
            <w:hideMark/>
          </w:tcPr>
          <w:p w14:paraId="36145C02" w14:textId="77777777" w:rsidR="00F1356E" w:rsidRPr="00A3360C" w:rsidRDefault="00D94896" w:rsidP="00F1356E">
            <w:pPr>
              <w:pStyle w:val="allikirjastajanimi"/>
            </w:pPr>
            <w:sdt>
              <w:sdtPr>
                <w:rPr>
                  <w:shd w:val="clear" w:color="auto" w:fill="FFFFFF"/>
                </w:rPr>
                <w:id w:val="199592462"/>
                <w14:checkbox>
                  <w14:checked w14:val="0"/>
                  <w14:checkedState w14:val="2612" w14:font="MS Gothic"/>
                  <w14:uncheckedState w14:val="2610" w14:font="MS Gothic"/>
                </w14:checkbox>
              </w:sdtPr>
              <w:sdtEndPr/>
              <w:sdtContent>
                <w:r w:rsidR="00862205" w:rsidRPr="00A3360C">
                  <w:rPr>
                    <w:rFonts w:ascii="Segoe UI Symbol" w:eastAsia="MS Gothic" w:hAnsi="Segoe UI Symbol" w:cs="Segoe UI Symbol"/>
                    <w:shd w:val="clear" w:color="auto" w:fill="FFFFFF"/>
                  </w:rPr>
                  <w:t>☐</w:t>
                </w:r>
              </w:sdtContent>
            </w:sdt>
            <w:r w:rsidR="00862205" w:rsidRPr="00A3360C">
              <w:t xml:space="preserve"> </w:t>
            </w:r>
            <w:r w:rsidR="00F1356E" w:rsidRPr="00A3360C">
              <w:t>silla, viadukti, tunneli</w:t>
            </w:r>
          </w:p>
        </w:tc>
        <w:tc>
          <w:tcPr>
            <w:tcW w:w="4320" w:type="dxa"/>
            <w:vAlign w:val="center"/>
            <w:hideMark/>
          </w:tcPr>
          <w:p w14:paraId="461A7B30" w14:textId="77777777" w:rsidR="00F1356E" w:rsidRPr="00A3360C" w:rsidRDefault="00842631" w:rsidP="00F1356E">
            <w:pPr>
              <w:pStyle w:val="allikirjastajanimi"/>
            </w:pPr>
            <w:r w:rsidRPr="00A3360C">
              <w:t xml:space="preserve"> </w:t>
            </w:r>
            <w:sdt>
              <w:sdtPr>
                <w:rPr>
                  <w:shd w:val="clear" w:color="auto" w:fill="FFFFFF"/>
                </w:rPr>
                <w:id w:val="-1032566828"/>
                <w14:checkbox>
                  <w14:checked w14:val="0"/>
                  <w14:checkedState w14:val="2612" w14:font="MS Gothic"/>
                  <w14:uncheckedState w14:val="2610" w14:font="MS Gothic"/>
                </w14:checkbox>
              </w:sdtPr>
              <w:sdtEndPr/>
              <w:sdtContent>
                <w:r w:rsidR="00862205" w:rsidRPr="00A3360C">
                  <w:rPr>
                    <w:rFonts w:ascii="Segoe UI Symbol" w:eastAsia="MS Gothic" w:hAnsi="Segoe UI Symbol" w:cs="Segoe UI Symbol"/>
                    <w:shd w:val="clear" w:color="auto" w:fill="FFFFFF"/>
                  </w:rPr>
                  <w:t>☐</w:t>
                </w:r>
              </w:sdtContent>
            </w:sdt>
            <w:r w:rsidR="00862205" w:rsidRPr="00A3360C">
              <w:t xml:space="preserve"> </w:t>
            </w:r>
            <w:r w:rsidR="00F1356E" w:rsidRPr="00A3360C">
              <w:t>laiendamiseks</w:t>
            </w:r>
          </w:p>
        </w:tc>
      </w:tr>
      <w:tr w:rsidR="00F1356E" w:rsidRPr="00A3360C" w14:paraId="2B97DE6A" w14:textId="77777777" w:rsidTr="0012458D">
        <w:trPr>
          <w:trHeight w:val="276"/>
        </w:trPr>
        <w:tc>
          <w:tcPr>
            <w:tcW w:w="4320" w:type="dxa"/>
            <w:tcBorders>
              <w:top w:val="nil"/>
              <w:left w:val="nil"/>
              <w:bottom w:val="nil"/>
              <w:right w:val="single" w:sz="8" w:space="0" w:color="auto"/>
            </w:tcBorders>
            <w:vAlign w:val="center"/>
            <w:hideMark/>
          </w:tcPr>
          <w:p w14:paraId="48449FD6" w14:textId="77777777" w:rsidR="00F1356E" w:rsidRPr="00A3360C" w:rsidRDefault="00F1356E" w:rsidP="00F1356E">
            <w:pPr>
              <w:pStyle w:val="allikirjastajanimi"/>
            </w:pPr>
          </w:p>
        </w:tc>
        <w:tc>
          <w:tcPr>
            <w:tcW w:w="4320" w:type="dxa"/>
            <w:vAlign w:val="center"/>
            <w:hideMark/>
          </w:tcPr>
          <w:p w14:paraId="0BB4A12C" w14:textId="77777777" w:rsidR="00F1356E" w:rsidRPr="00A3360C" w:rsidRDefault="00842631" w:rsidP="00F1356E">
            <w:pPr>
              <w:pStyle w:val="allikirjastajanimi"/>
            </w:pPr>
            <w:r w:rsidRPr="00A3360C">
              <w:t xml:space="preserve"> </w:t>
            </w:r>
            <w:sdt>
              <w:sdtPr>
                <w:rPr>
                  <w:shd w:val="clear" w:color="auto" w:fill="FFFFFF"/>
                </w:rPr>
                <w:id w:val="402717362"/>
                <w14:checkbox>
                  <w14:checked w14:val="0"/>
                  <w14:checkedState w14:val="2612" w14:font="MS Gothic"/>
                  <w14:uncheckedState w14:val="2610" w14:font="MS Gothic"/>
                </w14:checkbox>
              </w:sdtPr>
              <w:sdtEndPr/>
              <w:sdtContent>
                <w:r w:rsidR="00862205" w:rsidRPr="00A3360C">
                  <w:rPr>
                    <w:rFonts w:ascii="Segoe UI Symbol" w:eastAsia="MS Gothic" w:hAnsi="Segoe UI Symbol" w:cs="Segoe UI Symbol"/>
                    <w:shd w:val="clear" w:color="auto" w:fill="FFFFFF"/>
                  </w:rPr>
                  <w:t>☐</w:t>
                </w:r>
              </w:sdtContent>
            </w:sdt>
            <w:r w:rsidR="00862205" w:rsidRPr="00A3360C">
              <w:t xml:space="preserve"> </w:t>
            </w:r>
            <w:r w:rsidR="00F1356E" w:rsidRPr="00A3360C">
              <w:t>osa asendamiseks samaväärsega</w:t>
            </w:r>
          </w:p>
        </w:tc>
      </w:tr>
      <w:tr w:rsidR="00F1356E" w:rsidRPr="00A3360C" w14:paraId="4C5A2177" w14:textId="77777777" w:rsidTr="0012458D">
        <w:trPr>
          <w:trHeight w:val="276"/>
        </w:trPr>
        <w:tc>
          <w:tcPr>
            <w:tcW w:w="4320" w:type="dxa"/>
            <w:tcBorders>
              <w:top w:val="nil"/>
              <w:left w:val="nil"/>
              <w:bottom w:val="nil"/>
              <w:right w:val="single" w:sz="8" w:space="0" w:color="auto"/>
            </w:tcBorders>
            <w:vAlign w:val="center"/>
            <w:hideMark/>
          </w:tcPr>
          <w:p w14:paraId="7C3C62A5" w14:textId="77777777" w:rsidR="00F1356E" w:rsidRPr="00A3360C" w:rsidRDefault="00F1356E" w:rsidP="00F1356E">
            <w:pPr>
              <w:pStyle w:val="allikirjastajanimi"/>
            </w:pPr>
          </w:p>
        </w:tc>
        <w:tc>
          <w:tcPr>
            <w:tcW w:w="4320" w:type="dxa"/>
            <w:vAlign w:val="center"/>
            <w:hideMark/>
          </w:tcPr>
          <w:p w14:paraId="33A1417D" w14:textId="77777777" w:rsidR="00F1356E" w:rsidRPr="00A3360C" w:rsidRDefault="00842631" w:rsidP="00F1356E">
            <w:pPr>
              <w:pStyle w:val="allikirjastajanimi"/>
            </w:pPr>
            <w:r w:rsidRPr="00A3360C">
              <w:t xml:space="preserve"> </w:t>
            </w:r>
            <w:sdt>
              <w:sdtPr>
                <w:rPr>
                  <w:shd w:val="clear" w:color="auto" w:fill="FFFFFF"/>
                </w:rPr>
                <w:id w:val="2135674465"/>
                <w14:checkbox>
                  <w14:checked w14:val="0"/>
                  <w14:checkedState w14:val="2612" w14:font="MS Gothic"/>
                  <w14:uncheckedState w14:val="2610" w14:font="MS Gothic"/>
                </w14:checkbox>
              </w:sdtPr>
              <w:sdtEndPr/>
              <w:sdtContent>
                <w:r w:rsidR="00862205" w:rsidRPr="00A3360C">
                  <w:rPr>
                    <w:rFonts w:ascii="Segoe UI Symbol" w:eastAsia="MS Gothic" w:hAnsi="Segoe UI Symbol" w:cs="Segoe UI Symbol"/>
                    <w:shd w:val="clear" w:color="auto" w:fill="FFFFFF"/>
                  </w:rPr>
                  <w:t>☐</w:t>
                </w:r>
              </w:sdtContent>
            </w:sdt>
            <w:r w:rsidR="00862205" w:rsidRPr="00A3360C">
              <w:t xml:space="preserve"> </w:t>
            </w:r>
            <w:r w:rsidR="00F1356E" w:rsidRPr="00A3360C">
              <w:t>lammutamiseks</w:t>
            </w:r>
          </w:p>
        </w:tc>
      </w:tr>
      <w:tr w:rsidR="00F1356E" w:rsidRPr="00A3360C" w14:paraId="532C096E" w14:textId="77777777" w:rsidTr="007B6EE1">
        <w:trPr>
          <w:trHeight w:val="277"/>
        </w:trPr>
        <w:tc>
          <w:tcPr>
            <w:tcW w:w="4320" w:type="dxa"/>
            <w:tcBorders>
              <w:top w:val="nil"/>
              <w:left w:val="nil"/>
              <w:bottom w:val="nil"/>
            </w:tcBorders>
            <w:vAlign w:val="bottom"/>
          </w:tcPr>
          <w:p w14:paraId="38C2AFE4" w14:textId="77777777" w:rsidR="00F1356E" w:rsidRPr="00A3360C" w:rsidRDefault="00F1356E" w:rsidP="00F1356E">
            <w:pPr>
              <w:pStyle w:val="allikirjastajanimi"/>
            </w:pPr>
          </w:p>
        </w:tc>
        <w:tc>
          <w:tcPr>
            <w:tcW w:w="4320" w:type="dxa"/>
            <w:vAlign w:val="bottom"/>
            <w:hideMark/>
          </w:tcPr>
          <w:p w14:paraId="1FE2999E" w14:textId="77777777" w:rsidR="00F1356E" w:rsidRPr="00A3360C" w:rsidRDefault="00F1356E" w:rsidP="00F1356E">
            <w:pPr>
              <w:pStyle w:val="allikirjastajanimi"/>
            </w:pPr>
          </w:p>
        </w:tc>
      </w:tr>
      <w:tr w:rsidR="00F1356E" w:rsidRPr="00A3360C" w14:paraId="528DCDE5" w14:textId="77777777" w:rsidTr="007B6EE1">
        <w:trPr>
          <w:trHeight w:val="262"/>
        </w:trPr>
        <w:tc>
          <w:tcPr>
            <w:tcW w:w="4320" w:type="dxa"/>
            <w:tcBorders>
              <w:top w:val="nil"/>
              <w:left w:val="nil"/>
              <w:bottom w:val="nil"/>
            </w:tcBorders>
            <w:vAlign w:val="bottom"/>
          </w:tcPr>
          <w:p w14:paraId="5B72A24B" w14:textId="77777777" w:rsidR="00F1356E" w:rsidRPr="00A3360C" w:rsidRDefault="00F1356E" w:rsidP="00F1356E">
            <w:pPr>
              <w:pStyle w:val="allikirjastajanimi"/>
            </w:pPr>
          </w:p>
        </w:tc>
        <w:tc>
          <w:tcPr>
            <w:tcW w:w="4320" w:type="dxa"/>
            <w:vAlign w:val="bottom"/>
            <w:hideMark/>
          </w:tcPr>
          <w:p w14:paraId="57C8EF36" w14:textId="77777777" w:rsidR="00F1356E" w:rsidRPr="00A3360C" w:rsidRDefault="00F1356E" w:rsidP="00F1356E">
            <w:pPr>
              <w:pStyle w:val="allikirjastajanimi"/>
            </w:pPr>
          </w:p>
        </w:tc>
      </w:tr>
    </w:tbl>
    <w:p w14:paraId="2520BDE2" w14:textId="77777777" w:rsidR="00F1356E" w:rsidRPr="00A3360C" w:rsidRDefault="00F1356E" w:rsidP="00F1356E">
      <w:pPr>
        <w:pStyle w:val="allikirjastajanimi"/>
        <w:rPr>
          <w:b/>
        </w:rPr>
      </w:pPr>
    </w:p>
    <w:tbl>
      <w:tblPr>
        <w:tblW w:w="0" w:type="auto"/>
        <w:tblInd w:w="1" w:type="dxa"/>
        <w:tblLayout w:type="fixed"/>
        <w:tblCellMar>
          <w:left w:w="0" w:type="dxa"/>
          <w:right w:w="0" w:type="dxa"/>
        </w:tblCellMar>
        <w:tblLook w:val="04A0" w:firstRow="1" w:lastRow="0" w:firstColumn="1" w:lastColumn="0" w:noHBand="0" w:noVBand="1"/>
      </w:tblPr>
      <w:tblGrid>
        <w:gridCol w:w="4961"/>
        <w:gridCol w:w="4320"/>
      </w:tblGrid>
      <w:tr w:rsidR="009E3BD4" w:rsidRPr="00A3360C" w14:paraId="1466C5DD" w14:textId="77777777" w:rsidTr="00A06163">
        <w:trPr>
          <w:trHeight w:val="276"/>
        </w:trPr>
        <w:tc>
          <w:tcPr>
            <w:tcW w:w="4961" w:type="dxa"/>
            <w:tcBorders>
              <w:top w:val="nil"/>
              <w:left w:val="nil"/>
              <w:bottom w:val="nil"/>
            </w:tcBorders>
          </w:tcPr>
          <w:p w14:paraId="74214BF5" w14:textId="77777777" w:rsidR="009E3BD4" w:rsidRPr="00A3360C" w:rsidRDefault="009E3BD4" w:rsidP="009E3BD4">
            <w:pPr>
              <w:pStyle w:val="allikirjastajanimi"/>
            </w:pPr>
            <w:r w:rsidRPr="00A3360C">
              <w:t xml:space="preserve">Tee ehitusloa number                                       </w:t>
            </w:r>
          </w:p>
        </w:tc>
        <w:tc>
          <w:tcPr>
            <w:tcW w:w="4320" w:type="dxa"/>
            <w:tcBorders>
              <w:left w:val="nil"/>
            </w:tcBorders>
          </w:tcPr>
          <w:p w14:paraId="3C6BF36F" w14:textId="5F6626D6" w:rsidR="009E3BD4" w:rsidRPr="00A3360C" w:rsidRDefault="0012537A" w:rsidP="009E3BD4">
            <w:pPr>
              <w:pStyle w:val="allikirjastajanimi"/>
            </w:pPr>
            <w:r>
              <w:fldChar w:fldCharType="begin"/>
            </w:r>
            <w:r w:rsidR="00D94896">
              <w:instrText xml:space="preserve"> delta_regNumber  \* MERGEFORMAT</w:instrText>
            </w:r>
            <w:r>
              <w:fldChar w:fldCharType="separate"/>
            </w:r>
            <w:r w:rsidR="00D94896">
              <w:t>1.1-3/24/592</w:t>
            </w:r>
            <w:r>
              <w:fldChar w:fldCharType="end"/>
            </w:r>
          </w:p>
        </w:tc>
      </w:tr>
      <w:tr w:rsidR="009E3BD4" w:rsidRPr="00A3360C" w14:paraId="4F0122B8" w14:textId="77777777" w:rsidTr="00A06163">
        <w:trPr>
          <w:trHeight w:val="276"/>
        </w:trPr>
        <w:tc>
          <w:tcPr>
            <w:tcW w:w="4961" w:type="dxa"/>
            <w:tcBorders>
              <w:top w:val="nil"/>
              <w:left w:val="nil"/>
              <w:bottom w:val="nil"/>
            </w:tcBorders>
          </w:tcPr>
          <w:p w14:paraId="45C16F46" w14:textId="77777777" w:rsidR="009E3BD4" w:rsidRPr="00A3360C" w:rsidRDefault="009E3BD4" w:rsidP="009E3BD4">
            <w:pPr>
              <w:pStyle w:val="allikirjastajanimi"/>
            </w:pPr>
            <w:r w:rsidRPr="00A3360C">
              <w:t xml:space="preserve">Tee ehitusloa andmise kuupäev  </w:t>
            </w:r>
          </w:p>
        </w:tc>
        <w:tc>
          <w:tcPr>
            <w:tcW w:w="4320" w:type="dxa"/>
            <w:tcBorders>
              <w:left w:val="nil"/>
            </w:tcBorders>
          </w:tcPr>
          <w:p w14:paraId="28D6AEEA" w14:textId="52C321D7" w:rsidR="009E3BD4" w:rsidRPr="00A3360C" w:rsidRDefault="0012537A" w:rsidP="009E3BD4">
            <w:pPr>
              <w:pStyle w:val="allikirjastajanimi"/>
            </w:pPr>
            <w:r>
              <w:fldChar w:fldCharType="begin"/>
            </w:r>
            <w:r w:rsidR="00D94896">
              <w:instrText xml:space="preserve"> delta_regDateTime  \* MERGEFORMAT</w:instrText>
            </w:r>
            <w:r>
              <w:fldChar w:fldCharType="separate"/>
            </w:r>
            <w:r w:rsidR="00D94896">
              <w:t>25.07.2024</w:t>
            </w:r>
            <w:r>
              <w:fldChar w:fldCharType="end"/>
            </w:r>
            <w:r w:rsidR="009E3BD4">
              <w:t xml:space="preserve">  </w:t>
            </w:r>
          </w:p>
        </w:tc>
      </w:tr>
      <w:tr w:rsidR="00A06163" w:rsidRPr="00A3360C" w14:paraId="542B3D0E" w14:textId="77777777" w:rsidTr="00A06163">
        <w:trPr>
          <w:trHeight w:val="276"/>
        </w:trPr>
        <w:tc>
          <w:tcPr>
            <w:tcW w:w="4961" w:type="dxa"/>
            <w:tcBorders>
              <w:top w:val="nil"/>
              <w:left w:val="nil"/>
              <w:bottom w:val="nil"/>
            </w:tcBorders>
          </w:tcPr>
          <w:p w14:paraId="799DD344" w14:textId="77777777" w:rsidR="00A06163" w:rsidRPr="00A3360C" w:rsidRDefault="00A06163" w:rsidP="00A06163">
            <w:pPr>
              <w:pStyle w:val="allikirjastajanimi"/>
            </w:pPr>
            <w:r w:rsidRPr="00A3360C">
              <w:t xml:space="preserve">Tee ehitusloa andja                                            </w:t>
            </w:r>
          </w:p>
        </w:tc>
        <w:tc>
          <w:tcPr>
            <w:tcW w:w="4320" w:type="dxa"/>
            <w:tcBorders>
              <w:left w:val="nil"/>
            </w:tcBorders>
          </w:tcPr>
          <w:p w14:paraId="36BEE385" w14:textId="77777777" w:rsidR="00A06163" w:rsidRPr="00A3360C" w:rsidRDefault="00802F9A" w:rsidP="00990FC5">
            <w:pPr>
              <w:pStyle w:val="allikirjastajanimi"/>
            </w:pPr>
            <w:r w:rsidRPr="00A3360C">
              <w:t>Transpordiamet</w:t>
            </w:r>
            <w:r w:rsidR="00A06163" w:rsidRPr="00A3360C">
              <w:t xml:space="preserve">, </w:t>
            </w:r>
            <w:r w:rsidRPr="00A3360C">
              <w:t>Valge</w:t>
            </w:r>
            <w:r w:rsidR="00A06163" w:rsidRPr="00A3360C">
              <w:t xml:space="preserve"> 4</w:t>
            </w:r>
            <w:r w:rsidR="00B2678A" w:rsidRPr="00A3360C">
              <w:t>,</w:t>
            </w:r>
            <w:r w:rsidR="00A06163" w:rsidRPr="00A3360C">
              <w:t xml:space="preserve"> </w:t>
            </w:r>
            <w:r w:rsidRPr="00A3360C">
              <w:t xml:space="preserve">11413 </w:t>
            </w:r>
            <w:r w:rsidR="00A06163" w:rsidRPr="00A3360C">
              <w:t>Tallinn</w:t>
            </w:r>
          </w:p>
        </w:tc>
      </w:tr>
      <w:tr w:rsidR="00A06163" w:rsidRPr="00A3360C" w14:paraId="55FBF1B4" w14:textId="77777777" w:rsidTr="00A06163">
        <w:trPr>
          <w:trHeight w:val="276"/>
        </w:trPr>
        <w:tc>
          <w:tcPr>
            <w:tcW w:w="4961" w:type="dxa"/>
            <w:tcBorders>
              <w:top w:val="nil"/>
              <w:left w:val="nil"/>
              <w:bottom w:val="nil"/>
            </w:tcBorders>
          </w:tcPr>
          <w:p w14:paraId="19D236D4" w14:textId="77777777" w:rsidR="00A06163" w:rsidRPr="00A3360C" w:rsidRDefault="00A06163" w:rsidP="00A06163">
            <w:pPr>
              <w:pStyle w:val="allikirjastajanimi"/>
            </w:pPr>
            <w:r w:rsidRPr="00A3360C">
              <w:t>Ametniku nimi</w:t>
            </w:r>
          </w:p>
        </w:tc>
        <w:tc>
          <w:tcPr>
            <w:tcW w:w="4320" w:type="dxa"/>
            <w:tcBorders>
              <w:left w:val="nil"/>
            </w:tcBorders>
          </w:tcPr>
          <w:p w14:paraId="308E1658" w14:textId="6EDAF483" w:rsidR="00A06163" w:rsidRPr="00A3360C" w:rsidRDefault="00BC0F3A" w:rsidP="00990FC5">
            <w:pPr>
              <w:pStyle w:val="allikirjastajanimi"/>
            </w:pPr>
            <w:r>
              <w:t>Mart Michelis</w:t>
            </w:r>
          </w:p>
        </w:tc>
      </w:tr>
      <w:tr w:rsidR="00A06163" w:rsidRPr="00A3360C" w14:paraId="40DFAED4" w14:textId="77777777" w:rsidTr="00A06163">
        <w:trPr>
          <w:trHeight w:val="276"/>
        </w:trPr>
        <w:tc>
          <w:tcPr>
            <w:tcW w:w="4961" w:type="dxa"/>
            <w:tcBorders>
              <w:top w:val="nil"/>
              <w:left w:val="nil"/>
              <w:bottom w:val="nil"/>
            </w:tcBorders>
          </w:tcPr>
          <w:p w14:paraId="3D746806" w14:textId="77777777" w:rsidR="00A06163" w:rsidRPr="00A3360C" w:rsidRDefault="00A06163" w:rsidP="00A06163">
            <w:pPr>
              <w:pStyle w:val="allikirjastajanimi"/>
            </w:pPr>
            <w:r w:rsidRPr="00A3360C">
              <w:t>Ametniku ametinimetus</w:t>
            </w:r>
            <w:r w:rsidRPr="00A3360C">
              <w:tab/>
            </w:r>
          </w:p>
        </w:tc>
        <w:tc>
          <w:tcPr>
            <w:tcW w:w="4320" w:type="dxa"/>
            <w:tcBorders>
              <w:left w:val="nil"/>
            </w:tcBorders>
          </w:tcPr>
          <w:p w14:paraId="35C77BA8" w14:textId="4C0C7DCC" w:rsidR="00A06163" w:rsidRPr="00A3360C" w:rsidRDefault="001B3F4F" w:rsidP="00990FC5">
            <w:pPr>
              <w:pStyle w:val="allikirjastajanimi"/>
            </w:pPr>
            <w:r w:rsidRPr="00A3360C">
              <w:t>P</w:t>
            </w:r>
            <w:r w:rsidR="00BC0F3A">
              <w:t xml:space="preserve">laneerimise osakonna juhataja </w:t>
            </w:r>
          </w:p>
        </w:tc>
      </w:tr>
    </w:tbl>
    <w:p w14:paraId="6042C9D7" w14:textId="3355EBB5" w:rsidR="00210963" w:rsidRPr="00A3360C" w:rsidRDefault="00210963" w:rsidP="00F1356E">
      <w:pPr>
        <w:pStyle w:val="allikirjastajanimi"/>
        <w:rPr>
          <w:b/>
        </w:rPr>
      </w:pPr>
    </w:p>
    <w:p w14:paraId="02405F7E" w14:textId="77777777" w:rsidR="001B3F4F" w:rsidRPr="00A3360C" w:rsidRDefault="001B3F4F" w:rsidP="001B3F4F">
      <w:pPr>
        <w:rPr>
          <w:lang w:eastAsia="en-US" w:bidi="ar-SA"/>
        </w:rPr>
      </w:pPr>
    </w:p>
    <w:p w14:paraId="7D461A3D" w14:textId="77777777" w:rsidR="00F1356E" w:rsidRPr="00A3360C" w:rsidRDefault="00F1356E" w:rsidP="00F1356E">
      <w:pPr>
        <w:pStyle w:val="allikirjastajanimi"/>
        <w:rPr>
          <w:b/>
        </w:rPr>
      </w:pPr>
      <w:r w:rsidRPr="00A3360C">
        <w:rPr>
          <w:b/>
        </w:rPr>
        <w:t>Tee ehitusloa kõrvaltingimused</w:t>
      </w:r>
    </w:p>
    <w:p w14:paraId="464A00A2" w14:textId="77777777" w:rsidR="001B3F4F" w:rsidRPr="00A3360C" w:rsidRDefault="001B3F4F" w:rsidP="00851DD8">
      <w:pPr>
        <w:rPr>
          <w:lang w:eastAsia="en-US" w:bidi="ar-SA"/>
        </w:rPr>
      </w:pPr>
    </w:p>
    <w:p w14:paraId="2C5397CC" w14:textId="3641AB7F" w:rsidR="00071AAA" w:rsidRPr="00A3360C" w:rsidRDefault="004A7AF5" w:rsidP="00071AAA">
      <w:pPr>
        <w:pStyle w:val="ListParagraph"/>
        <w:numPr>
          <w:ilvl w:val="0"/>
          <w:numId w:val="7"/>
        </w:numPr>
        <w:spacing w:line="240" w:lineRule="auto"/>
        <w:ind w:left="714" w:hanging="357"/>
        <w:rPr>
          <w:rFonts w:cs="Times New Roman"/>
          <w:szCs w:val="24"/>
          <w:lang w:eastAsia="en-US" w:bidi="ar-SA"/>
        </w:rPr>
      </w:pPr>
      <w:r w:rsidRPr="00A3360C">
        <w:rPr>
          <w:rFonts w:cs="Times New Roman"/>
          <w:szCs w:val="24"/>
          <w:lang w:eastAsia="en-US" w:bidi="ar-SA"/>
        </w:rPr>
        <w:t>Arvestada Transpordiameti otsustega, mis on esitatud korralduse „</w:t>
      </w:r>
      <w:r w:rsidR="00071AAA" w:rsidRPr="00A3360C">
        <w:rPr>
          <w:rFonts w:cs="Times New Roman"/>
          <w:szCs w:val="24"/>
          <w:lang w:eastAsia="en-US" w:bidi="ar-SA"/>
        </w:rPr>
        <w:t>Tee ehitusloa andmine Rail Baltica Kangru liiklussõlme rajamiseks ja keskkonnamõju hindamise algatamata jätmine</w:t>
      </w:r>
      <w:r w:rsidRPr="00A3360C">
        <w:rPr>
          <w:rFonts w:cs="Times New Roman"/>
          <w:szCs w:val="24"/>
          <w:lang w:eastAsia="en-US" w:bidi="ar-SA"/>
        </w:rPr>
        <w:t>“ lisas 2 „Arvamuste ja kooskõlastuste koondtabel“</w:t>
      </w:r>
      <w:r w:rsidR="00BC0F3A">
        <w:rPr>
          <w:rFonts w:cs="Times New Roman"/>
          <w:szCs w:val="24"/>
          <w:lang w:eastAsia="en-US" w:bidi="ar-SA"/>
        </w:rPr>
        <w:t>.</w:t>
      </w:r>
    </w:p>
    <w:p w14:paraId="42789E49" w14:textId="0E9B38DD" w:rsidR="00071AAA" w:rsidRPr="00A3360C" w:rsidRDefault="00071AAA" w:rsidP="00071AAA">
      <w:pPr>
        <w:pStyle w:val="ListParagraph"/>
        <w:numPr>
          <w:ilvl w:val="0"/>
          <w:numId w:val="7"/>
        </w:numPr>
        <w:spacing w:line="240" w:lineRule="auto"/>
        <w:ind w:left="714" w:hanging="357"/>
        <w:rPr>
          <w:rFonts w:cs="Times New Roman"/>
          <w:szCs w:val="24"/>
          <w:lang w:eastAsia="en-US" w:bidi="ar-SA"/>
        </w:rPr>
      </w:pPr>
      <w:r w:rsidRPr="00A3360C">
        <w:rPr>
          <w:rFonts w:cs="Times New Roman"/>
          <w:szCs w:val="24"/>
          <w:lang w:eastAsia="en-US" w:bidi="ar-SA"/>
        </w:rPr>
        <w:t>Kangru liiklussõlme ehitamisel vältimaks Männiku kõre ja kivisisaliku püsielupaiga ja kaitsealuste liikide kahjustamist on vajalikud meetmed:</w:t>
      </w:r>
    </w:p>
    <w:p w14:paraId="421D91F4" w14:textId="77777777" w:rsidR="00071AAA" w:rsidRPr="00A3360C" w:rsidRDefault="00071AAA" w:rsidP="00071AAA">
      <w:pPr>
        <w:pStyle w:val="ListParagraph"/>
        <w:numPr>
          <w:ilvl w:val="1"/>
          <w:numId w:val="7"/>
        </w:numPr>
        <w:spacing w:line="240" w:lineRule="auto"/>
        <w:rPr>
          <w:rFonts w:cs="Times New Roman"/>
          <w:szCs w:val="24"/>
          <w:lang w:eastAsia="en-US" w:bidi="ar-SA"/>
        </w:rPr>
      </w:pPr>
      <w:r w:rsidRPr="00A3360C">
        <w:rPr>
          <w:rFonts w:cs="Times New Roman"/>
          <w:szCs w:val="24"/>
          <w:lang w:eastAsia="en-US" w:bidi="ar-SA"/>
        </w:rPr>
        <w:t>Rajada metallist kahepaiksetõkked ulukiaia alaserva.</w:t>
      </w:r>
    </w:p>
    <w:p w14:paraId="4F90E2C5" w14:textId="77777777" w:rsidR="00071AAA" w:rsidRPr="00A3360C" w:rsidRDefault="00071AAA" w:rsidP="00071AAA">
      <w:pPr>
        <w:pStyle w:val="ListParagraph"/>
        <w:numPr>
          <w:ilvl w:val="1"/>
          <w:numId w:val="7"/>
        </w:numPr>
        <w:spacing w:line="240" w:lineRule="auto"/>
        <w:rPr>
          <w:rFonts w:cs="Times New Roman"/>
          <w:szCs w:val="24"/>
          <w:lang w:eastAsia="en-US" w:bidi="ar-SA"/>
        </w:rPr>
      </w:pPr>
      <w:r w:rsidRPr="00A3360C">
        <w:rPr>
          <w:rFonts w:cs="Times New Roman"/>
          <w:szCs w:val="24"/>
          <w:lang w:eastAsia="en-US" w:bidi="ar-SA"/>
        </w:rPr>
        <w:t>Väravate ette paigaldada kahepaikseid tõkestavad ja suunavad rennid.</w:t>
      </w:r>
    </w:p>
    <w:p w14:paraId="31EDEAF0" w14:textId="77777777" w:rsidR="00071AAA" w:rsidRPr="00A3360C" w:rsidRDefault="00071AAA" w:rsidP="00071AAA">
      <w:pPr>
        <w:pStyle w:val="ListParagraph"/>
        <w:numPr>
          <w:ilvl w:val="1"/>
          <w:numId w:val="7"/>
        </w:numPr>
        <w:spacing w:line="240" w:lineRule="auto"/>
        <w:rPr>
          <w:rFonts w:cs="Times New Roman"/>
          <w:szCs w:val="24"/>
          <w:lang w:eastAsia="en-US" w:bidi="ar-SA"/>
        </w:rPr>
      </w:pPr>
      <w:r w:rsidRPr="00A3360C">
        <w:rPr>
          <w:rFonts w:cs="Times New Roman"/>
          <w:szCs w:val="24"/>
          <w:lang w:eastAsia="en-US" w:bidi="ar-SA"/>
        </w:rPr>
        <w:t>Kasteheina tee viadukti püsielupaiga poolsesse serva (teekattesse) paigaldada kahepaiksetõkke renn ja lisada asjakohased infotahvlid jalgrattaliikluse rahustamiseks.</w:t>
      </w:r>
    </w:p>
    <w:p w14:paraId="42FCDD5C" w14:textId="77777777" w:rsidR="00071AAA" w:rsidRPr="00A3360C" w:rsidRDefault="00071AAA" w:rsidP="00071AAA">
      <w:pPr>
        <w:pStyle w:val="ListParagraph"/>
        <w:numPr>
          <w:ilvl w:val="1"/>
          <w:numId w:val="7"/>
        </w:numPr>
        <w:spacing w:line="240" w:lineRule="auto"/>
        <w:rPr>
          <w:rFonts w:cs="Times New Roman"/>
          <w:szCs w:val="24"/>
          <w:lang w:eastAsia="en-US" w:bidi="ar-SA"/>
        </w:rPr>
      </w:pPr>
      <w:r w:rsidRPr="00A3360C">
        <w:rPr>
          <w:rFonts w:cs="Times New Roman"/>
          <w:szCs w:val="24"/>
          <w:lang w:val="en-GB" w:eastAsia="en-US" w:bidi="ar-SA"/>
        </w:rPr>
        <w:t>Elutingimuste loomiseks ja teekonstruktsiooni püsimiseks tuleb teha Kasteheina tee nõlva alumise serva juures (Raku järve poole) liivast vall. Liivast vall kavandada maksimaalselt pikk (jalgteega paralleelne) ja järvepoolsed nõlvad järsud. Valli kõrgus kavandada 1,0-1,5 m</w:t>
      </w:r>
      <w:r w:rsidRPr="00A3360C">
        <w:rPr>
          <w:rFonts w:cs="Times New Roman"/>
          <w:szCs w:val="24"/>
          <w:lang w:eastAsia="en-US" w:bidi="ar-SA"/>
        </w:rPr>
        <w:t>.</w:t>
      </w:r>
    </w:p>
    <w:p w14:paraId="6D0BCD4D" w14:textId="77777777" w:rsidR="00071AAA" w:rsidRPr="00A3360C" w:rsidRDefault="00071AAA" w:rsidP="00071AAA">
      <w:pPr>
        <w:pStyle w:val="ListParagraph"/>
        <w:numPr>
          <w:ilvl w:val="1"/>
          <w:numId w:val="7"/>
        </w:numPr>
        <w:spacing w:line="240" w:lineRule="auto"/>
        <w:rPr>
          <w:rFonts w:cs="Times New Roman"/>
          <w:szCs w:val="24"/>
          <w:lang w:eastAsia="en-US" w:bidi="ar-SA"/>
        </w:rPr>
      </w:pPr>
      <w:r w:rsidRPr="00A3360C">
        <w:rPr>
          <w:rFonts w:cs="Times New Roman"/>
          <w:szCs w:val="24"/>
          <w:lang w:eastAsia="en-US" w:bidi="ar-SA"/>
        </w:rPr>
        <w:t xml:space="preserve">Laoplatside asukohtade ja transpordimarsruutide valikul arvestada kõre sigimisvee-kogude ja püsielupaiga piiranguvööndi paiknemisega. </w:t>
      </w:r>
      <w:r w:rsidRPr="00A3360C">
        <w:rPr>
          <w:rFonts w:cs="Times New Roman"/>
          <w:szCs w:val="24"/>
          <w:lang w:val="en-GB" w:eastAsia="en-US" w:bidi="ar-SA"/>
        </w:rPr>
        <w:t xml:space="preserve">Kõre sigimistiikidele lähemal kui 300 m ei tohi ehitustegevuse käigus kavandada laoplatse ega parkida sõidukeid, ladustada pinnast või muid ehitustegevuse jääke ja teostada kooskõlastamata kaevetöid. </w:t>
      </w:r>
    </w:p>
    <w:p w14:paraId="79BFAA22" w14:textId="77777777" w:rsidR="00071AAA" w:rsidRDefault="00071AAA" w:rsidP="00071AAA">
      <w:pPr>
        <w:pStyle w:val="ListParagraph"/>
        <w:numPr>
          <w:ilvl w:val="1"/>
          <w:numId w:val="7"/>
        </w:numPr>
        <w:spacing w:line="240" w:lineRule="auto"/>
        <w:rPr>
          <w:rFonts w:cs="Times New Roman"/>
          <w:szCs w:val="24"/>
          <w:lang w:eastAsia="en-US" w:bidi="ar-SA"/>
        </w:rPr>
      </w:pPr>
      <w:r w:rsidRPr="00A3360C">
        <w:rPr>
          <w:rFonts w:cs="Times New Roman"/>
          <w:szCs w:val="24"/>
          <w:lang w:eastAsia="en-US" w:bidi="ar-SA"/>
        </w:rPr>
        <w:t>Kõrede aktiivsusperioodil 15.04 – 30.09 ei tohi öösiti sõidukitega liikuda Viljandi maanteest Raku järve pool.</w:t>
      </w:r>
    </w:p>
    <w:p w14:paraId="1065EB10" w14:textId="4104085B" w:rsidR="0004592A" w:rsidRPr="00A3360C" w:rsidRDefault="0004592A" w:rsidP="00071AAA">
      <w:pPr>
        <w:pStyle w:val="ListParagraph"/>
        <w:numPr>
          <w:ilvl w:val="1"/>
          <w:numId w:val="7"/>
        </w:numPr>
        <w:spacing w:line="240" w:lineRule="auto"/>
        <w:rPr>
          <w:rFonts w:cs="Times New Roman"/>
          <w:szCs w:val="24"/>
          <w:lang w:eastAsia="en-US" w:bidi="ar-SA"/>
        </w:rPr>
      </w:pPr>
      <w:r>
        <w:t>Ehitusaegselt tuleb sesoonsete rändekoridoride ja sigimisveekogude piirkonnas takistada ajutiste tõkete abil kahepaiksete pääsemine töötsooni, et kahepaiksed ei hukkuks masinate rataste all või ei satuks lõksu.</w:t>
      </w:r>
    </w:p>
    <w:p w14:paraId="55EFCEA8" w14:textId="37597F7B" w:rsidR="00071AAA" w:rsidRPr="00A3360C" w:rsidRDefault="00071AAA" w:rsidP="00071AAA">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 xml:space="preserve">Kahepaksete soodsa seisundi tagamiseks tuleb tee hooldamise käigus piirata herbitsiidide kasutamist. Kindlasti ei tohi herbitsiide kasutada kahepaiksete sigimisveekogust, Raku järvest, 50 m raadiuses. Teistes olulistes kahepaiksete elupaikades tuleb herbitsiide kasutada nii vähe kui võimalik, ehk rakendada sihitud taimetõrjet. Vastavalt </w:t>
      </w:r>
      <w:r w:rsidRPr="00A3360C">
        <w:rPr>
          <w:rFonts w:cs="Times New Roman"/>
          <w:szCs w:val="24"/>
          <w:lang w:val="en-GB" w:eastAsia="en-US" w:bidi="ar-SA"/>
        </w:rPr>
        <w:t>kavandatava Männiku kõre ja kivisisaliku püsielupaiga kaitse-eeskirjale on püsielupaiga territooriumil biotsiidi, taimekaitsevahendi ja väetise kasutamine keelatud</w:t>
      </w:r>
      <w:r w:rsidR="00DF786E">
        <w:rPr>
          <w:rFonts w:cs="Times New Roman"/>
          <w:szCs w:val="24"/>
          <w:lang w:val="en-GB" w:eastAsia="en-US" w:bidi="ar-SA"/>
        </w:rPr>
        <w:t>.</w:t>
      </w:r>
    </w:p>
    <w:p w14:paraId="1886AEBE" w14:textId="77777777" w:rsidR="00071AAA" w:rsidRPr="00A3360C" w:rsidRDefault="00071AAA" w:rsidP="00071AAA">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Tuginedes liigi kaitse tegvuskavale  tuleb Ülemiste väike-konnakotka pesa ümbruses 750 m raadiuses pesast vältida häiringuid 15. märtsist 31. augustini.</w:t>
      </w:r>
      <w:bookmarkStart w:id="2" w:name="_Hlk52893095"/>
      <w:bookmarkStart w:id="3" w:name="_Hlk48934226"/>
      <w:bookmarkStart w:id="4" w:name="_Hlk110596776"/>
    </w:p>
    <w:p w14:paraId="1E3A0661" w14:textId="77777777" w:rsidR="00071AAA" w:rsidRPr="00A3360C" w:rsidRDefault="00071AAA" w:rsidP="00071AAA">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Looduskaitseseaduse § 55 lõike 6</w:t>
      </w:r>
      <w:r w:rsidRPr="00A3360C">
        <w:rPr>
          <w:rFonts w:cs="Times New Roman"/>
          <w:szCs w:val="24"/>
          <w:vertAlign w:val="superscript"/>
          <w:lang w:eastAsia="en-US" w:bidi="ar-SA"/>
        </w:rPr>
        <w:t>1</w:t>
      </w:r>
      <w:r w:rsidRPr="00A3360C">
        <w:rPr>
          <w:rFonts w:cs="Times New Roman"/>
          <w:szCs w:val="24"/>
          <w:lang w:eastAsia="en-US" w:bidi="ar-SA"/>
        </w:rPr>
        <w:t xml:space="preserve"> punkti 1 kohaselt on keelatud looduslikult esinevate lindude pesade ja munade tahtlik hävitamine ja kahjustamine või pesade kõrvaldamine, välja arvatud LKS § 55 lõike 3 punktides 2-5 toodud juhtudel ja Keskkonnaameti loa alusel. LKS § 55 lõike 6</w:t>
      </w:r>
      <w:r w:rsidRPr="00A3360C">
        <w:rPr>
          <w:rFonts w:cs="Times New Roman"/>
          <w:szCs w:val="24"/>
          <w:vertAlign w:val="superscript"/>
          <w:lang w:eastAsia="en-US" w:bidi="ar-SA"/>
        </w:rPr>
        <w:t>1</w:t>
      </w:r>
      <w:r w:rsidRPr="00A3360C">
        <w:rPr>
          <w:rFonts w:cs="Times New Roman"/>
          <w:szCs w:val="24"/>
          <w:lang w:eastAsia="en-US" w:bidi="ar-SA"/>
        </w:rPr>
        <w:t xml:space="preserve"> punkti 2 kohaselt on keelatud looduslikult esinevate lindude tahtlik häirimine, eriti pesitsemise ja poegade üleskasvatamise ajal. </w:t>
      </w:r>
      <w:bookmarkStart w:id="5" w:name="_Hlk52893124"/>
      <w:bookmarkEnd w:id="2"/>
      <w:bookmarkEnd w:id="3"/>
      <w:r w:rsidRPr="00A3360C">
        <w:rPr>
          <w:rFonts w:cs="Times New Roman"/>
          <w:iCs/>
          <w:szCs w:val="24"/>
          <w:lang w:eastAsia="en-US" w:bidi="ar-SA"/>
        </w:rPr>
        <w:t xml:space="preserve">Raietööd ja raadamine tuleb ajastada väljapoole lindude pesitsusperioodi. </w:t>
      </w:r>
      <w:r w:rsidRPr="00A3360C">
        <w:rPr>
          <w:rFonts w:cs="Times New Roman"/>
          <w:szCs w:val="24"/>
          <w:lang w:eastAsia="en-US" w:bidi="ar-SA"/>
        </w:rPr>
        <w:t>Lindude pesitsusaegse häirimise vältimine on laialdaselt kasutatav loodushoiu meede, nt riigimetsas kehtib raierahu 15. aprillist 30. juunini. Kuna paljudel liikidel algab pesitsusperiood varem ja lõpeb hiljem, siis on mõistlik kaasata linnustiku ekspert, kes teeb kindlaks, millised liigid töömaal ja selle vahetus ümbruses pesitsevad ning määrab kohapõhised piirangud.</w:t>
      </w:r>
      <w:bookmarkStart w:id="6" w:name="_Hlk110514206"/>
      <w:bookmarkEnd w:id="4"/>
      <w:bookmarkEnd w:id="5"/>
    </w:p>
    <w:p w14:paraId="4B698593" w14:textId="66AE4F91" w:rsidR="00071AAA" w:rsidRPr="00A3360C" w:rsidRDefault="00071AAA" w:rsidP="00071AAA">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Kaitsealuste kuklaste (</w:t>
      </w:r>
      <w:r w:rsidRPr="00A3360C">
        <w:rPr>
          <w:rFonts w:cs="Times New Roman"/>
          <w:i/>
          <w:iCs/>
          <w:szCs w:val="24"/>
          <w:lang w:eastAsia="en-US" w:bidi="ar-SA"/>
        </w:rPr>
        <w:t>Formica spp</w:t>
      </w:r>
      <w:r w:rsidRPr="00A3360C">
        <w:rPr>
          <w:rFonts w:cs="Times New Roman"/>
          <w:szCs w:val="24"/>
          <w:lang w:eastAsia="en-US" w:bidi="ar-SA"/>
        </w:rPr>
        <w:t xml:space="preserve">) suremuse vältimiseks tuleb raadamise käigus (st ehitusetapi algul) leitud sipelgapesad </w:t>
      </w:r>
      <w:r w:rsidR="00DF786E">
        <w:rPr>
          <w:rFonts w:cs="Times New Roman"/>
          <w:szCs w:val="24"/>
          <w:lang w:eastAsia="en-US" w:bidi="ar-SA"/>
        </w:rPr>
        <w:t>ümber asustada</w:t>
      </w:r>
      <w:r w:rsidRPr="00A3360C">
        <w:rPr>
          <w:rFonts w:cs="Times New Roman"/>
          <w:szCs w:val="24"/>
          <w:lang w:eastAsia="en-US" w:bidi="ar-SA"/>
        </w:rPr>
        <w:t xml:space="preserve">. Kuklaste pesade </w:t>
      </w:r>
      <w:r w:rsidR="00DF786E">
        <w:rPr>
          <w:rFonts w:cs="Times New Roman"/>
          <w:szCs w:val="24"/>
          <w:lang w:eastAsia="en-US" w:bidi="ar-SA"/>
        </w:rPr>
        <w:t>teisaldamiseks</w:t>
      </w:r>
      <w:r w:rsidRPr="00A3360C">
        <w:rPr>
          <w:rFonts w:cs="Times New Roman"/>
          <w:szCs w:val="24"/>
          <w:lang w:eastAsia="en-US" w:bidi="ar-SA"/>
        </w:rPr>
        <w:t xml:space="preserve"> peab olema Keskkonnaameti luba ja soovitatav on seda teha spetsialisti juhendamisel. </w:t>
      </w:r>
      <w:r w:rsidR="00DF786E">
        <w:rPr>
          <w:rFonts w:cs="Times New Roman"/>
          <w:szCs w:val="24"/>
          <w:lang w:eastAsia="en-US" w:bidi="ar-SA"/>
        </w:rPr>
        <w:t>Teisaldamiseks</w:t>
      </w:r>
      <w:r w:rsidRPr="00A3360C">
        <w:rPr>
          <w:rFonts w:cs="Times New Roman"/>
          <w:szCs w:val="24"/>
          <w:lang w:eastAsia="en-US" w:bidi="ar-SA"/>
        </w:rPr>
        <w:t xml:space="preserve"> parim aeg on kevadel kuiva ilmaga, kui sipelgaid on pesas veel suhteliselt vähe. Pesa tuleb kogu ulatuses varahommikul või hilisõhtul välja kaevata ja transportida vähemalt 500 m kaugusele päikesele avatud kuiva kohta metsa servas. Kui kaevatakse välja kogu pesa ja uus asukoht on kuklastele sobiv, siis ehitavad nad pesa uuesti üles ja meede on tõhus. Enne raadamist tuleb eksperdi kaasabil trassile jäävad kuklaste pesad kaardistada ja koostada kava nende ümberasustamiseks. Kuklaseid esineb suurema tõenäosusega okas- ja segametsades.</w:t>
      </w:r>
      <w:bookmarkEnd w:id="6"/>
    </w:p>
    <w:p w14:paraId="7304C054" w14:textId="77777777" w:rsidR="00071AAA" w:rsidRPr="00A3360C" w:rsidRDefault="00071AAA" w:rsidP="00071AAA">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Projektiala asub rohekoridoris. Rohevõrgustiku sidusus maantee suhtes tagatakse loomade altpääsudega maanteeviaduktide all piki raudtee piirdeaedu. Raietööd peavad toimuma minimaalses vajalikus mahus.</w:t>
      </w:r>
    </w:p>
    <w:p w14:paraId="5625F0ED" w14:textId="77777777" w:rsidR="00071AAA" w:rsidRPr="00A3360C" w:rsidRDefault="00071AAA" w:rsidP="00071AAA">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 xml:space="preserve">Impulssmüra põhjustavat tööd (nt vaiade rammimine) võib teha tööpäevadel ajavahemikul 7.00-19.00. </w:t>
      </w:r>
      <w:bookmarkStart w:id="7" w:name="_Hlk157085320"/>
    </w:p>
    <w:bookmarkEnd w:id="7"/>
    <w:p w14:paraId="5ECFE34A" w14:textId="77777777" w:rsidR="00071AAA" w:rsidRPr="00A3360C" w:rsidRDefault="00071AAA" w:rsidP="00071AAA">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Tolmu tekke vähendamiseks tuleb kuiva ilmaga vältida tolmu tekitavaid tegevusi või kasutada niisutamist.</w:t>
      </w:r>
    </w:p>
    <w:p w14:paraId="641DD45A" w14:textId="77777777" w:rsidR="00071AAA" w:rsidRPr="00A3360C" w:rsidRDefault="00071AAA" w:rsidP="00071AAA">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Juhul, kui viaduktide rajamiseks kasutatakse vaiade rammimist või muud olulist vibratsioonitaset põhjustavat ehitustehnoloogiat, siis tuleb ehitustöödel tagada, et vibratsioonitase elamutes ei ületaks normidekohast taset. Eestis on vibratsiooni normtasemed hoonetes reguleeritud sotsiaalministri 17.05.2002 määrusega nr 78 „Vibratsiooni piirväärtused elamutes ja ühiskasutusega hoonetes ning vibratsiooni mõõtmise meetodid“. Selleks, et hinnata vibratsiooni tõttu tekkivaid hoonete kahjustusi tuleb kuni 200 meetri raadiuses ehitusobjektist fikseerida hoonete seisukord enne ehitustööde (rammimise) algust, et hiljem (võimalike kaebuste korral) saaks tuvastada, kas rammimine on kahjustanud hoonet.</w:t>
      </w:r>
    </w:p>
    <w:p w14:paraId="598D9F45" w14:textId="1C8408BC" w:rsidR="00071AAA" w:rsidRPr="00A3360C" w:rsidRDefault="00071AAA" w:rsidP="00071AAA">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Maanteedelt ärajuhitav sademevesi on autode heitgaasidest, rehvide hõõrdumisest ja maanteel liiklusohutuse tagamiseks intensiivsemat tehtava libedusetõrjest tekkivate saasteainete tõttu reostunum  kui raudteelt ärajuhitav sademevesi.  Nõuded sademevee suublasse juhtimiseks on kehtestatud keskkonnaministri 08.11.2019 määrusega nr 61.</w:t>
      </w:r>
    </w:p>
    <w:p w14:paraId="4A8620AC" w14:textId="77777777" w:rsidR="00071AAA" w:rsidRPr="00A3360C" w:rsidRDefault="00071AAA" w:rsidP="00071AAA">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Projektialal tuleb tagada pinnaveerežiimi säilimine. Truupide ehitusel tuleb järgida tavapäraseid veekaitse nõuded, vältida tuleb pinnavee reostamist. Sh tuleb jälgida, et kasutatavate masinate puhastamine/pesu ei toimuks veekaitsevööndis. Tuleb jälgida, et kraavidesse satuks võimalikult vähe heljumit. Truubi paigaldamisel ei tohi vette sattuda mittevajalikke ehitusmaterjale ega olmejäätmeid.</w:t>
      </w:r>
    </w:p>
    <w:p w14:paraId="6BCB0E57" w14:textId="77777777" w:rsidR="00071AAA" w:rsidRPr="00A3360C" w:rsidRDefault="00071AAA" w:rsidP="00071AAA">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Ehitamisel tuleb arvestada kemikaalide ja kütuste käitlemise nõuetega. Veenduda tuleb, et ehitusel kasutatavatest masinatest ei lekiks kütust ega määrdeaineid – nii vähendatakse pinnase reostumise ning seeläbi ka põhja- ja pinnavee reostumise riski. Tekkinud reostus tuleb kohe lokaliseerida ja eemaldada pinnasest.</w:t>
      </w:r>
    </w:p>
    <w:p w14:paraId="1D00BC7B" w14:textId="77777777" w:rsidR="008E79A9" w:rsidRPr="00A3360C" w:rsidRDefault="00071AAA" w:rsidP="008E79A9">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Kõrgete mullete rajamisel tuleb rakendada meetmeid erosiooniohu vähendamiseks. Oluline on vältida nõlvade uhtumist ehituse ajal. Soovitatav on alustada nõlvade kindlustustöödega vahetult peale mulde või süvendi nõlvade valmimist. See võimaldab muruseemnel kiiremini juurduda ning nõlv on erosiooni suhtes vastupidavam</w:t>
      </w:r>
    </w:p>
    <w:p w14:paraId="0B3171FA" w14:textId="77777777" w:rsidR="008E79A9" w:rsidRPr="00A3360C" w:rsidRDefault="00071AAA" w:rsidP="008E79A9">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Jäätmete töötlemine ja ladustamine Raku järve piiranguvööndis on looduskaitseseaduse kohaselt keelatud.</w:t>
      </w:r>
    </w:p>
    <w:p w14:paraId="4414FDDF" w14:textId="77777777" w:rsidR="008E79A9" w:rsidRPr="00A3360C" w:rsidRDefault="00071AAA" w:rsidP="008E79A9">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Kõik materjalid või jäätmed, mis kanduvad ehitusplatsilt välja tuule, vee, autorataste vms mõjul, tuleb kohe eemaldada (kokku koguda) ning kahjustatud ala tuleb puhastada. Vältida tuleb ka pinnase, ehitusmaterjalide või jäätmete pudenemist teedele tööde alalt lahkuvatelt veokitelt ning mistahes sellisel moel tekkinud reostus tuleb koheselt eemaldada.</w:t>
      </w:r>
    </w:p>
    <w:p w14:paraId="6904A8D4" w14:textId="77777777" w:rsidR="008E79A9" w:rsidRPr="00A3360C" w:rsidRDefault="00071AAA" w:rsidP="008E79A9">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Võimalusel tuleb maksimaalselt ehitusmaterjale taaskasutada (nt muld, pinnas jms). Kõlblik kasvumuld kasutatakse nõlvade kindlustamisel ja haljastamisel, kõlbmatut kasvumulda saab võimalusel kasutada korrastatavate alade ja haljasalade täiteks. Raiejäätmed ja kännud tuleb taaskasutada kohapeal väiksematele loomadele varjete rajamiseks loomaradadel.</w:t>
      </w:r>
    </w:p>
    <w:p w14:paraId="026FBA40" w14:textId="77777777" w:rsidR="008E79A9" w:rsidRPr="00A3360C" w:rsidRDefault="00071AAA" w:rsidP="008E79A9">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 xml:space="preserve">Taaskasutuseks mittesobivad ehitusel tekkivad jäätmed tuleb käidelda vastavalt kehtivale korrale. Ehituse käigus tekkinud jäätmed tuleb üle anda jäätmekäitlusettevõttele. Jäätmete ajutised kogumiskohad peavad olema sellised, kus on välistatud jäätmete ja reostuse sattumine pinnasesse ning pinna- ja põhjavette. </w:t>
      </w:r>
    </w:p>
    <w:p w14:paraId="4D3B3D64" w14:textId="104FCBD2" w:rsidR="00071AAA" w:rsidRDefault="00071AAA" w:rsidP="008E79A9">
      <w:pPr>
        <w:pStyle w:val="ListParagraph"/>
        <w:numPr>
          <w:ilvl w:val="0"/>
          <w:numId w:val="7"/>
        </w:numPr>
        <w:spacing w:line="240" w:lineRule="auto"/>
        <w:rPr>
          <w:rFonts w:cs="Times New Roman"/>
          <w:szCs w:val="24"/>
          <w:lang w:eastAsia="en-US" w:bidi="ar-SA"/>
        </w:rPr>
      </w:pPr>
      <w:r w:rsidRPr="00A3360C">
        <w:rPr>
          <w:rFonts w:cs="Times New Roman"/>
          <w:szCs w:val="24"/>
          <w:lang w:eastAsia="en-US" w:bidi="ar-SA"/>
        </w:rPr>
        <w:t>Ehitustegevuste läbiviimisel juhindutakse muinsuskaitseseadusest, mille kohaselt tuleb tööd mistahes paigas peatada, kui avastatakse arheoloogiline kultuurkiht või maasse, veekogusse või selle põhjasetetesse mattunud ajaloolised ehituskonstruktsioonid. Leiukoht tuleb säilitada muutmata kujul ning viivitamata teavitada Muinsuskaitseametit. RB maakonnaplaneeringu KSH raames läbiviidud arheoloogiaväärtuste uuringuga ei leitud projektiala piirkonna alalt kultuurkihti ega kultuuriväärtuslikke leide, kuid Peeter Suure merekindluse osad tuleks enne Kangru riste ja raudteetrassi ehitustöid kindlasti dokumenteerida.</w:t>
      </w:r>
    </w:p>
    <w:p w14:paraId="551CE2DD" w14:textId="5603FB6D" w:rsidR="00EB3D96" w:rsidRPr="00A3360C" w:rsidRDefault="00437E68" w:rsidP="008E79A9">
      <w:pPr>
        <w:pStyle w:val="ListParagraph"/>
        <w:numPr>
          <w:ilvl w:val="0"/>
          <w:numId w:val="7"/>
        </w:numPr>
        <w:spacing w:line="240" w:lineRule="auto"/>
        <w:rPr>
          <w:rFonts w:cs="Times New Roman"/>
          <w:szCs w:val="24"/>
          <w:lang w:eastAsia="en-US" w:bidi="ar-SA"/>
        </w:rPr>
      </w:pPr>
      <w:r w:rsidRPr="00376260">
        <w:rPr>
          <w:rFonts w:cs="Times New Roman"/>
          <w:szCs w:val="24"/>
        </w:rPr>
        <w:t>Ehitusaegse liikluskorralduse projekteerimisel teha koostööd Tallinna Transpordiametiga.</w:t>
      </w:r>
    </w:p>
    <w:p w14:paraId="213A404A" w14:textId="7A9C04FD" w:rsidR="00851DD8" w:rsidRPr="00A3360C" w:rsidRDefault="00851DD8" w:rsidP="00851DD8">
      <w:pPr>
        <w:rPr>
          <w:lang w:eastAsia="en-US" w:bidi="ar-SA"/>
        </w:rPr>
      </w:pPr>
    </w:p>
    <w:p w14:paraId="4E786229" w14:textId="77777777" w:rsidR="001B3F4F" w:rsidRPr="00A3360C" w:rsidRDefault="001B3F4F" w:rsidP="00851DD8">
      <w:pPr>
        <w:rPr>
          <w:lang w:eastAsia="en-US" w:bidi="ar-SA"/>
        </w:rPr>
      </w:pPr>
    </w:p>
    <w:p w14:paraId="52C10B55" w14:textId="77777777" w:rsidR="00145C05" w:rsidRPr="00A3360C" w:rsidRDefault="00145C05" w:rsidP="00145C05">
      <w:pPr>
        <w:pStyle w:val="allikirjastajanimi"/>
        <w:numPr>
          <w:ilvl w:val="0"/>
          <w:numId w:val="3"/>
        </w:numPr>
        <w:tabs>
          <w:tab w:val="num" w:pos="567"/>
        </w:tabs>
        <w:ind w:left="284" w:hanging="284"/>
        <w:rPr>
          <w:b/>
          <w:bCs/>
        </w:rPr>
      </w:pPr>
      <w:r w:rsidRPr="00A3360C">
        <w:rPr>
          <w:b/>
          <w:bCs/>
        </w:rPr>
        <w:t>Andmed tee kohta</w:t>
      </w:r>
    </w:p>
    <w:p w14:paraId="52DC9B69" w14:textId="77777777" w:rsidR="00145C05" w:rsidRPr="00A3360C" w:rsidRDefault="00145C05" w:rsidP="00145C05">
      <w:pPr>
        <w:rPr>
          <w:lang w:eastAsia="en-US" w:bidi="ar-SA"/>
        </w:rPr>
      </w:pPr>
    </w:p>
    <w:tbl>
      <w:tblPr>
        <w:tblW w:w="0" w:type="auto"/>
        <w:tblInd w:w="1" w:type="dxa"/>
        <w:tblLayout w:type="fixed"/>
        <w:tblCellMar>
          <w:left w:w="0" w:type="dxa"/>
          <w:right w:w="0" w:type="dxa"/>
        </w:tblCellMar>
        <w:tblLook w:val="04A0" w:firstRow="1" w:lastRow="0" w:firstColumn="1" w:lastColumn="0" w:noHBand="0" w:noVBand="1"/>
      </w:tblPr>
      <w:tblGrid>
        <w:gridCol w:w="4961"/>
        <w:gridCol w:w="4320"/>
      </w:tblGrid>
      <w:tr w:rsidR="001E782E" w:rsidRPr="00A3360C" w14:paraId="4AC3B7AE" w14:textId="77777777" w:rsidTr="0042578C">
        <w:trPr>
          <w:trHeight w:val="276"/>
        </w:trPr>
        <w:tc>
          <w:tcPr>
            <w:tcW w:w="4961" w:type="dxa"/>
            <w:tcBorders>
              <w:top w:val="nil"/>
              <w:left w:val="nil"/>
              <w:bottom w:val="nil"/>
            </w:tcBorders>
          </w:tcPr>
          <w:p w14:paraId="3D1FA591" w14:textId="10678CA2" w:rsidR="008E79A9" w:rsidRPr="00A3360C" w:rsidRDefault="008E79A9" w:rsidP="008E79A9">
            <w:pPr>
              <w:pStyle w:val="allikirjastajanimi"/>
            </w:pPr>
            <w:r w:rsidRPr="00A3360C">
              <w:t>15 Tallinna–Rapla–Türi tee</w:t>
            </w:r>
          </w:p>
          <w:p w14:paraId="7442FBAF" w14:textId="20DD42F3" w:rsidR="001E782E" w:rsidRPr="00A3360C" w:rsidRDefault="008E79A9" w:rsidP="008E79A9">
            <w:pPr>
              <w:pStyle w:val="allikirjastajanimi"/>
            </w:pPr>
            <w:r w:rsidRPr="00A3360C">
              <w:t>11115 Kurna−Tuhala tee</w:t>
            </w:r>
          </w:p>
        </w:tc>
        <w:tc>
          <w:tcPr>
            <w:tcW w:w="4320" w:type="dxa"/>
            <w:tcBorders>
              <w:left w:val="nil"/>
            </w:tcBorders>
          </w:tcPr>
          <w:p w14:paraId="48BE6208" w14:textId="77777777" w:rsidR="001E782E" w:rsidRPr="00A3360C" w:rsidRDefault="001E782E" w:rsidP="00145C05">
            <w:pPr>
              <w:pStyle w:val="allikirjastajanimi"/>
              <w:rPr>
                <w:b/>
                <w:bCs/>
              </w:rPr>
            </w:pPr>
          </w:p>
        </w:tc>
      </w:tr>
    </w:tbl>
    <w:p w14:paraId="516A61D5" w14:textId="7B5AA039" w:rsidR="00210963" w:rsidRPr="00A3360C" w:rsidRDefault="00210963" w:rsidP="00210963">
      <w:pPr>
        <w:rPr>
          <w:lang w:eastAsia="en-US" w:bidi="ar-SA"/>
        </w:rPr>
      </w:pPr>
    </w:p>
    <w:p w14:paraId="5EC1A909" w14:textId="77777777" w:rsidR="001B3F4F" w:rsidRPr="00A3360C" w:rsidRDefault="001B3F4F" w:rsidP="00210963">
      <w:pPr>
        <w:rPr>
          <w:lang w:eastAsia="en-US" w:bidi="ar-SA"/>
        </w:rPr>
      </w:pPr>
    </w:p>
    <w:p w14:paraId="7937F720" w14:textId="77777777" w:rsidR="00F1356E" w:rsidRPr="00A3360C" w:rsidRDefault="00F1356E" w:rsidP="00210963">
      <w:pPr>
        <w:pStyle w:val="allikirjastajanimi"/>
        <w:numPr>
          <w:ilvl w:val="0"/>
          <w:numId w:val="3"/>
        </w:numPr>
        <w:tabs>
          <w:tab w:val="num" w:pos="567"/>
        </w:tabs>
        <w:ind w:left="284" w:hanging="284"/>
        <w:rPr>
          <w:b/>
          <w:bCs/>
        </w:rPr>
      </w:pPr>
      <w:r w:rsidRPr="00A3360C">
        <w:rPr>
          <w:b/>
          <w:bCs/>
        </w:rPr>
        <w:t xml:space="preserve">Andmed tee ehitusprojekti kohta </w:t>
      </w:r>
    </w:p>
    <w:p w14:paraId="73108327" w14:textId="77777777" w:rsidR="00F1356E" w:rsidRPr="00A3360C" w:rsidRDefault="00F1356E" w:rsidP="00F1356E">
      <w:pPr>
        <w:pStyle w:val="allikirjastajanimi"/>
        <w:rPr>
          <w:b/>
          <w:bCs/>
        </w:rPr>
      </w:pPr>
    </w:p>
    <w:tbl>
      <w:tblPr>
        <w:tblW w:w="0" w:type="auto"/>
        <w:tblInd w:w="1" w:type="dxa"/>
        <w:tblLayout w:type="fixed"/>
        <w:tblCellMar>
          <w:left w:w="0" w:type="dxa"/>
          <w:right w:w="0" w:type="dxa"/>
        </w:tblCellMar>
        <w:tblLook w:val="04A0" w:firstRow="1" w:lastRow="0" w:firstColumn="1" w:lastColumn="0" w:noHBand="0" w:noVBand="1"/>
      </w:tblPr>
      <w:tblGrid>
        <w:gridCol w:w="4961"/>
        <w:gridCol w:w="4320"/>
      </w:tblGrid>
      <w:tr w:rsidR="001E782E" w:rsidRPr="00A3360C" w14:paraId="4A85D775" w14:textId="77777777" w:rsidTr="00A06163">
        <w:trPr>
          <w:trHeight w:val="276"/>
        </w:trPr>
        <w:tc>
          <w:tcPr>
            <w:tcW w:w="4961" w:type="dxa"/>
            <w:tcBorders>
              <w:top w:val="nil"/>
              <w:left w:val="nil"/>
              <w:bottom w:val="nil"/>
            </w:tcBorders>
          </w:tcPr>
          <w:p w14:paraId="5B846B2C" w14:textId="77777777" w:rsidR="001E782E" w:rsidRPr="00A3360C" w:rsidRDefault="001E782E" w:rsidP="001E782E">
            <w:pPr>
              <w:pStyle w:val="allikirjastajanimi"/>
              <w:numPr>
                <w:ilvl w:val="1"/>
                <w:numId w:val="4"/>
              </w:numPr>
              <w:ind w:left="426" w:hanging="426"/>
            </w:pPr>
            <w:r w:rsidRPr="00A3360C">
              <w:t>Tee ehitusprojekti koostaja nimi</w:t>
            </w:r>
          </w:p>
        </w:tc>
        <w:tc>
          <w:tcPr>
            <w:tcW w:w="4320" w:type="dxa"/>
            <w:tcBorders>
              <w:left w:val="nil"/>
            </w:tcBorders>
          </w:tcPr>
          <w:p w14:paraId="02106881" w14:textId="28595A0E" w:rsidR="001E782E" w:rsidRPr="00A3360C" w:rsidRDefault="00071AAA" w:rsidP="001E782E">
            <w:pPr>
              <w:pStyle w:val="allikirjastajanimi"/>
            </w:pPr>
            <w:r w:rsidRPr="00A3360C">
              <w:t>GRK Eesti AS</w:t>
            </w:r>
          </w:p>
        </w:tc>
      </w:tr>
      <w:tr w:rsidR="001E782E" w:rsidRPr="00A3360C" w14:paraId="5E0780DC" w14:textId="77777777" w:rsidTr="00A06163">
        <w:trPr>
          <w:trHeight w:val="276"/>
        </w:trPr>
        <w:tc>
          <w:tcPr>
            <w:tcW w:w="4961" w:type="dxa"/>
            <w:tcBorders>
              <w:top w:val="nil"/>
              <w:left w:val="nil"/>
              <w:bottom w:val="nil"/>
            </w:tcBorders>
          </w:tcPr>
          <w:p w14:paraId="0BA77EFF" w14:textId="77777777" w:rsidR="001E782E" w:rsidRPr="00A3360C" w:rsidRDefault="001E782E" w:rsidP="001E782E">
            <w:pPr>
              <w:pStyle w:val="allikirjastajanimi"/>
              <w:numPr>
                <w:ilvl w:val="1"/>
                <w:numId w:val="4"/>
              </w:numPr>
              <w:ind w:left="426" w:hanging="426"/>
            </w:pPr>
            <w:r w:rsidRPr="00A3360C">
              <w:t>Tee ehitusprojekti koostaja registrikood</w:t>
            </w:r>
          </w:p>
        </w:tc>
        <w:tc>
          <w:tcPr>
            <w:tcW w:w="4320" w:type="dxa"/>
            <w:tcBorders>
              <w:left w:val="nil"/>
            </w:tcBorders>
          </w:tcPr>
          <w:p w14:paraId="33BFBECD" w14:textId="4762E8E4" w:rsidR="001E782E" w:rsidRPr="00A3360C" w:rsidRDefault="00071AAA" w:rsidP="001E782E">
            <w:pPr>
              <w:pStyle w:val="allikirjastajanimi"/>
            </w:pPr>
            <w:r w:rsidRPr="00A3360C">
              <w:t>12579850</w:t>
            </w:r>
          </w:p>
        </w:tc>
      </w:tr>
      <w:tr w:rsidR="001E782E" w:rsidRPr="00A3360C" w14:paraId="5CF3A5B2" w14:textId="77777777" w:rsidTr="00A06163">
        <w:trPr>
          <w:trHeight w:val="276"/>
        </w:trPr>
        <w:tc>
          <w:tcPr>
            <w:tcW w:w="4961" w:type="dxa"/>
            <w:tcBorders>
              <w:top w:val="nil"/>
              <w:left w:val="nil"/>
              <w:bottom w:val="nil"/>
            </w:tcBorders>
          </w:tcPr>
          <w:p w14:paraId="60E74F36" w14:textId="77777777" w:rsidR="001E782E" w:rsidRPr="00A3360C" w:rsidRDefault="001E782E" w:rsidP="001E782E">
            <w:pPr>
              <w:pStyle w:val="allikirjastajanimi"/>
              <w:numPr>
                <w:ilvl w:val="1"/>
                <w:numId w:val="4"/>
              </w:numPr>
              <w:ind w:left="426" w:hanging="426"/>
            </w:pPr>
            <w:r w:rsidRPr="00A3360C">
              <w:t>Tee ehitusprojekti koostaja kontaktaadress</w:t>
            </w:r>
          </w:p>
        </w:tc>
        <w:tc>
          <w:tcPr>
            <w:tcW w:w="4320" w:type="dxa"/>
            <w:tcBorders>
              <w:left w:val="nil"/>
            </w:tcBorders>
          </w:tcPr>
          <w:p w14:paraId="24D6BBE9" w14:textId="4F1BABFF" w:rsidR="001E782E" w:rsidRPr="00A3360C" w:rsidRDefault="00071AAA" w:rsidP="001E782E">
            <w:pPr>
              <w:pStyle w:val="allikirjastajanimi"/>
            </w:pPr>
            <w:r w:rsidRPr="00A3360C">
              <w:t>Riia tn 142, 50411 Tartu</w:t>
            </w:r>
          </w:p>
        </w:tc>
      </w:tr>
      <w:tr w:rsidR="001E782E" w:rsidRPr="00A3360C" w14:paraId="6B82F7B6" w14:textId="77777777" w:rsidTr="00A06163">
        <w:trPr>
          <w:trHeight w:val="276"/>
        </w:trPr>
        <w:tc>
          <w:tcPr>
            <w:tcW w:w="4961" w:type="dxa"/>
            <w:tcBorders>
              <w:top w:val="nil"/>
              <w:left w:val="nil"/>
              <w:bottom w:val="nil"/>
            </w:tcBorders>
          </w:tcPr>
          <w:p w14:paraId="0A288585" w14:textId="77777777" w:rsidR="001E782E" w:rsidRPr="00A3360C" w:rsidRDefault="001E782E" w:rsidP="001E782E">
            <w:pPr>
              <w:pStyle w:val="allikirjastajanimi"/>
              <w:numPr>
                <w:ilvl w:val="1"/>
                <w:numId w:val="4"/>
              </w:numPr>
              <w:ind w:left="426" w:hanging="426"/>
            </w:pPr>
            <w:r w:rsidRPr="00A3360C">
              <w:t>Tee ehitusprojekti koostaja kontakttelefon</w:t>
            </w:r>
          </w:p>
        </w:tc>
        <w:tc>
          <w:tcPr>
            <w:tcW w:w="4320" w:type="dxa"/>
            <w:tcBorders>
              <w:left w:val="nil"/>
            </w:tcBorders>
          </w:tcPr>
          <w:p w14:paraId="4F96E95A" w14:textId="0DA96CF1" w:rsidR="001E782E" w:rsidRPr="00A3360C" w:rsidRDefault="00071AAA" w:rsidP="001E782E">
            <w:pPr>
              <w:pStyle w:val="allikirjastajanimi"/>
            </w:pPr>
            <w:r w:rsidRPr="00A3360C">
              <w:t>+372 7333250</w:t>
            </w:r>
          </w:p>
        </w:tc>
      </w:tr>
      <w:tr w:rsidR="001E782E" w:rsidRPr="00A3360C" w14:paraId="59F912CE" w14:textId="77777777" w:rsidTr="00A06163">
        <w:trPr>
          <w:trHeight w:val="276"/>
        </w:trPr>
        <w:tc>
          <w:tcPr>
            <w:tcW w:w="4961" w:type="dxa"/>
            <w:tcBorders>
              <w:top w:val="nil"/>
              <w:left w:val="nil"/>
              <w:bottom w:val="nil"/>
            </w:tcBorders>
          </w:tcPr>
          <w:p w14:paraId="1A65EF0A" w14:textId="77777777" w:rsidR="001E782E" w:rsidRPr="00A3360C" w:rsidRDefault="001E782E" w:rsidP="001E782E">
            <w:pPr>
              <w:pStyle w:val="allikirjastajanimi"/>
              <w:numPr>
                <w:ilvl w:val="1"/>
                <w:numId w:val="4"/>
              </w:numPr>
              <w:ind w:left="426" w:hanging="426"/>
            </w:pPr>
            <w:r w:rsidRPr="00A3360C">
              <w:t>Tee ehitusprojekti koostaja e-post</w:t>
            </w:r>
          </w:p>
        </w:tc>
        <w:tc>
          <w:tcPr>
            <w:tcW w:w="4320" w:type="dxa"/>
            <w:tcBorders>
              <w:left w:val="nil"/>
            </w:tcBorders>
          </w:tcPr>
          <w:p w14:paraId="53901817" w14:textId="4A6A1747" w:rsidR="001E782E" w:rsidRPr="00A3360C" w:rsidRDefault="00071AAA" w:rsidP="001E782E">
            <w:pPr>
              <w:pStyle w:val="allikirjastajanimi"/>
            </w:pPr>
            <w:r w:rsidRPr="00A3360C">
              <w:t>info@grk.ee</w:t>
            </w:r>
          </w:p>
        </w:tc>
      </w:tr>
      <w:tr w:rsidR="001E782E" w:rsidRPr="00A3360C" w14:paraId="73A8781D" w14:textId="77777777" w:rsidTr="00A06163">
        <w:trPr>
          <w:trHeight w:val="277"/>
        </w:trPr>
        <w:tc>
          <w:tcPr>
            <w:tcW w:w="4961" w:type="dxa"/>
            <w:tcBorders>
              <w:top w:val="nil"/>
              <w:left w:val="nil"/>
              <w:bottom w:val="nil"/>
            </w:tcBorders>
          </w:tcPr>
          <w:p w14:paraId="43534A9E" w14:textId="77777777" w:rsidR="001E782E" w:rsidRPr="00A3360C" w:rsidRDefault="001E782E" w:rsidP="001E782E">
            <w:pPr>
              <w:pStyle w:val="allikirjastajanimi"/>
            </w:pPr>
          </w:p>
        </w:tc>
        <w:tc>
          <w:tcPr>
            <w:tcW w:w="4320" w:type="dxa"/>
          </w:tcPr>
          <w:p w14:paraId="6D626ACF" w14:textId="77777777" w:rsidR="001E782E" w:rsidRPr="00A3360C" w:rsidRDefault="001E782E" w:rsidP="001E782E">
            <w:pPr>
              <w:pStyle w:val="allikirjastajanimi"/>
            </w:pPr>
          </w:p>
        </w:tc>
      </w:tr>
      <w:tr w:rsidR="001E782E" w:rsidRPr="00A3360C" w14:paraId="7D9EB901" w14:textId="77777777" w:rsidTr="00A06163">
        <w:trPr>
          <w:trHeight w:val="277"/>
        </w:trPr>
        <w:tc>
          <w:tcPr>
            <w:tcW w:w="4961" w:type="dxa"/>
            <w:tcBorders>
              <w:top w:val="nil"/>
              <w:left w:val="nil"/>
              <w:bottom w:val="nil"/>
            </w:tcBorders>
          </w:tcPr>
          <w:p w14:paraId="2114E68D" w14:textId="77777777" w:rsidR="001E782E" w:rsidRPr="00A3360C" w:rsidRDefault="001E782E" w:rsidP="001E782E">
            <w:pPr>
              <w:pStyle w:val="allikirjastajanimi"/>
              <w:numPr>
                <w:ilvl w:val="1"/>
                <w:numId w:val="4"/>
              </w:numPr>
              <w:ind w:left="426" w:hanging="426"/>
            </w:pPr>
            <w:r w:rsidRPr="00A3360C">
              <w:t>Tee ehitusprojekti nimetus</w:t>
            </w:r>
          </w:p>
        </w:tc>
        <w:tc>
          <w:tcPr>
            <w:tcW w:w="4320" w:type="dxa"/>
          </w:tcPr>
          <w:p w14:paraId="39DD65FF" w14:textId="1E3A91E1" w:rsidR="001E782E" w:rsidRPr="00A3360C" w:rsidRDefault="00071AAA" w:rsidP="001E782E">
            <w:pPr>
              <w:pStyle w:val="allikirjastajanimi"/>
            </w:pPr>
            <w:r w:rsidRPr="00A3360C">
              <w:t>Kangru liiklussõlme ja Rail Balticut ületavate viaduktide ehitustööd</w:t>
            </w:r>
          </w:p>
        </w:tc>
      </w:tr>
      <w:tr w:rsidR="001E782E" w:rsidRPr="00A3360C" w14:paraId="0C4FCBF2" w14:textId="77777777" w:rsidTr="00A06163">
        <w:trPr>
          <w:trHeight w:val="262"/>
        </w:trPr>
        <w:tc>
          <w:tcPr>
            <w:tcW w:w="4961" w:type="dxa"/>
            <w:tcBorders>
              <w:top w:val="nil"/>
              <w:left w:val="nil"/>
              <w:bottom w:val="nil"/>
            </w:tcBorders>
          </w:tcPr>
          <w:p w14:paraId="4D2C659B" w14:textId="77777777" w:rsidR="001E782E" w:rsidRPr="00A3360C" w:rsidRDefault="001E782E" w:rsidP="001E782E">
            <w:pPr>
              <w:pStyle w:val="allikirjastajanimi"/>
              <w:numPr>
                <w:ilvl w:val="1"/>
                <w:numId w:val="4"/>
              </w:numPr>
              <w:ind w:left="426" w:hanging="426"/>
            </w:pPr>
            <w:r w:rsidRPr="00A3360C">
              <w:t>Tee ehitusprojekti number</w:t>
            </w:r>
          </w:p>
        </w:tc>
        <w:tc>
          <w:tcPr>
            <w:tcW w:w="4320" w:type="dxa"/>
          </w:tcPr>
          <w:p w14:paraId="3B42CA18" w14:textId="56BA810A" w:rsidR="001E782E" w:rsidRPr="00A3360C" w:rsidRDefault="00071AAA" w:rsidP="001E782E">
            <w:pPr>
              <w:pStyle w:val="allikirjastajanimi"/>
            </w:pPr>
            <w:r w:rsidRPr="00A3360C">
              <w:t>RBDTD-EE-DS2-DPS2_GRK_OR0350</w:t>
            </w:r>
          </w:p>
        </w:tc>
      </w:tr>
    </w:tbl>
    <w:p w14:paraId="6C4FB27E" w14:textId="0033EBC5" w:rsidR="00F1356E" w:rsidRPr="00A3360C" w:rsidRDefault="00F1356E" w:rsidP="00F1356E">
      <w:pPr>
        <w:pStyle w:val="allikirjastajanimi"/>
        <w:rPr>
          <w:b/>
        </w:rPr>
      </w:pPr>
    </w:p>
    <w:p w14:paraId="62E8A3A7" w14:textId="77777777" w:rsidR="001B3F4F" w:rsidRPr="00A3360C" w:rsidRDefault="001B3F4F" w:rsidP="001B3F4F">
      <w:pPr>
        <w:rPr>
          <w:lang w:eastAsia="en-US" w:bidi="ar-SA"/>
        </w:rPr>
      </w:pPr>
    </w:p>
    <w:p w14:paraId="487F72BA" w14:textId="77777777" w:rsidR="00F1356E" w:rsidRPr="00A3360C" w:rsidRDefault="00F1356E" w:rsidP="00F1356E">
      <w:pPr>
        <w:pStyle w:val="allikirjastajanimi"/>
      </w:pPr>
    </w:p>
    <w:p w14:paraId="5C611339" w14:textId="77777777" w:rsidR="0012458D" w:rsidRPr="00A3360C" w:rsidRDefault="00FB3279" w:rsidP="0012458D">
      <w:pPr>
        <w:pStyle w:val="allikirjastajanimi"/>
      </w:pPr>
      <w:r w:rsidRPr="00A3360C">
        <w:t>(allkirjastatud digitaalselt)</w:t>
      </w:r>
      <w:bookmarkEnd w:id="1"/>
    </w:p>
    <w:sectPr w:rsidR="0012458D" w:rsidRPr="00A3360C" w:rsidSect="00EE7E6B">
      <w:footerReference w:type="default" r:id="rId8"/>
      <w:pgSz w:w="11906" w:h="16838" w:code="9"/>
      <w:pgMar w:top="907" w:right="851" w:bottom="1418" w:left="1701" w:header="510" w:footer="51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AEA0E" w14:textId="77777777" w:rsidR="001746D4" w:rsidRDefault="001746D4" w:rsidP="00DF44DF">
      <w:r>
        <w:separator/>
      </w:r>
    </w:p>
  </w:endnote>
  <w:endnote w:type="continuationSeparator" w:id="0">
    <w:p w14:paraId="59AD221E" w14:textId="77777777" w:rsidR="001746D4" w:rsidRDefault="001746D4"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035654"/>
      <w:docPartObj>
        <w:docPartGallery w:val="Page Numbers (Bottom of Page)"/>
        <w:docPartUnique/>
      </w:docPartObj>
    </w:sdtPr>
    <w:sdtEndPr/>
    <w:sdtContent>
      <w:p w14:paraId="04CE5BC6" w14:textId="4A140354" w:rsidR="00EE7E6B" w:rsidRDefault="00EE7E6B">
        <w:pPr>
          <w:pStyle w:val="Footer"/>
          <w:jc w:val="center"/>
        </w:pPr>
        <w:r>
          <w:fldChar w:fldCharType="begin"/>
        </w:r>
        <w:r>
          <w:instrText>PAGE   \* MERGEFORMAT</w:instrText>
        </w:r>
        <w:r>
          <w:fldChar w:fldCharType="separate"/>
        </w:r>
        <w:r w:rsidR="00D94896">
          <w:rPr>
            <w:noProof/>
          </w:rPr>
          <w:t>3</w:t>
        </w:r>
        <w:r>
          <w:fldChar w:fldCharType="end"/>
        </w:r>
      </w:p>
    </w:sdtContent>
  </w:sdt>
  <w:p w14:paraId="59D76866" w14:textId="77777777" w:rsidR="00EE7E6B" w:rsidRDefault="00EE7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1C22F" w14:textId="77777777" w:rsidR="001746D4" w:rsidRDefault="001746D4" w:rsidP="00DF44DF">
      <w:r>
        <w:separator/>
      </w:r>
    </w:p>
  </w:footnote>
  <w:footnote w:type="continuationSeparator" w:id="0">
    <w:p w14:paraId="242323C5" w14:textId="77777777" w:rsidR="001746D4" w:rsidRDefault="001746D4" w:rsidP="00DF4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A55A9D"/>
    <w:multiLevelType w:val="multilevel"/>
    <w:tmpl w:val="111E27FA"/>
    <w:lvl w:ilvl="0">
      <w:start w:val="2"/>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nsid w:val="0914748D"/>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383579"/>
    <w:multiLevelType w:val="hybridMultilevel"/>
    <w:tmpl w:val="E6CA8D2A"/>
    <w:lvl w:ilvl="0" w:tplc="43EC07FE">
      <w:start w:val="1"/>
      <w:numFmt w:val="decimal"/>
      <w:lvlText w:val="%1."/>
      <w:lvlJc w:val="left"/>
      <w:pPr>
        <w:ind w:left="361" w:hanging="360"/>
      </w:pPr>
    </w:lvl>
    <w:lvl w:ilvl="1" w:tplc="04250019">
      <w:start w:val="1"/>
      <w:numFmt w:val="lowerLetter"/>
      <w:lvlText w:val="%2."/>
      <w:lvlJc w:val="left"/>
      <w:pPr>
        <w:ind w:left="1081" w:hanging="360"/>
      </w:pPr>
    </w:lvl>
    <w:lvl w:ilvl="2" w:tplc="0425001B">
      <w:start w:val="1"/>
      <w:numFmt w:val="lowerRoman"/>
      <w:lvlText w:val="%3."/>
      <w:lvlJc w:val="right"/>
      <w:pPr>
        <w:ind w:left="1801" w:hanging="180"/>
      </w:pPr>
    </w:lvl>
    <w:lvl w:ilvl="3" w:tplc="0425000F">
      <w:start w:val="1"/>
      <w:numFmt w:val="decimal"/>
      <w:lvlText w:val="%4."/>
      <w:lvlJc w:val="left"/>
      <w:pPr>
        <w:ind w:left="2521" w:hanging="360"/>
      </w:pPr>
    </w:lvl>
    <w:lvl w:ilvl="4" w:tplc="04250019">
      <w:start w:val="1"/>
      <w:numFmt w:val="lowerLetter"/>
      <w:lvlText w:val="%5."/>
      <w:lvlJc w:val="left"/>
      <w:pPr>
        <w:ind w:left="3241" w:hanging="360"/>
      </w:pPr>
    </w:lvl>
    <w:lvl w:ilvl="5" w:tplc="0425001B">
      <w:start w:val="1"/>
      <w:numFmt w:val="lowerRoman"/>
      <w:lvlText w:val="%6."/>
      <w:lvlJc w:val="right"/>
      <w:pPr>
        <w:ind w:left="3961" w:hanging="180"/>
      </w:pPr>
    </w:lvl>
    <w:lvl w:ilvl="6" w:tplc="0425000F">
      <w:start w:val="1"/>
      <w:numFmt w:val="decimal"/>
      <w:lvlText w:val="%7."/>
      <w:lvlJc w:val="left"/>
      <w:pPr>
        <w:ind w:left="4681" w:hanging="360"/>
      </w:pPr>
    </w:lvl>
    <w:lvl w:ilvl="7" w:tplc="04250019">
      <w:start w:val="1"/>
      <w:numFmt w:val="lowerLetter"/>
      <w:lvlText w:val="%8."/>
      <w:lvlJc w:val="left"/>
      <w:pPr>
        <w:ind w:left="5401" w:hanging="360"/>
      </w:pPr>
    </w:lvl>
    <w:lvl w:ilvl="8" w:tplc="0425001B">
      <w:start w:val="1"/>
      <w:numFmt w:val="lowerRoman"/>
      <w:lvlText w:val="%9."/>
      <w:lvlJc w:val="right"/>
      <w:pPr>
        <w:ind w:left="6121" w:hanging="180"/>
      </w:pPr>
    </w:lvl>
  </w:abstractNum>
  <w:abstractNum w:abstractNumId="4">
    <w:nsid w:val="3E6B5993"/>
    <w:multiLevelType w:val="hybridMultilevel"/>
    <w:tmpl w:val="6854B8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3F240226"/>
    <w:multiLevelType w:val="hybridMultilevel"/>
    <w:tmpl w:val="BC8AA2CC"/>
    <w:lvl w:ilvl="0" w:tplc="0425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440F3BB3"/>
    <w:multiLevelType w:val="hybridMultilevel"/>
    <w:tmpl w:val="200CF022"/>
    <w:lvl w:ilvl="0" w:tplc="5302FE80">
      <w:start w:val="1"/>
      <w:numFmt w:val="decimal"/>
      <w:lvlText w:val="%1."/>
      <w:lvlJc w:val="righ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4E6969F0"/>
    <w:multiLevelType w:val="hybridMultilevel"/>
    <w:tmpl w:val="AE965554"/>
    <w:lvl w:ilvl="0" w:tplc="5302FE80">
      <w:start w:val="1"/>
      <w:numFmt w:val="decimal"/>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6045071A"/>
    <w:multiLevelType w:val="hybridMultilevel"/>
    <w:tmpl w:val="CBD8A8FE"/>
    <w:lvl w:ilvl="0" w:tplc="042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26D31E3"/>
    <w:multiLevelType w:val="hybridMultilevel"/>
    <w:tmpl w:val="31307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0C516D"/>
    <w:multiLevelType w:val="hybridMultilevel"/>
    <w:tmpl w:val="D9BA55B4"/>
    <w:lvl w:ilvl="0" w:tplc="B8B80812">
      <w:numFmt w:val="bullet"/>
      <w:lvlText w:val="-"/>
      <w:lvlJc w:val="left"/>
      <w:pPr>
        <w:ind w:left="361" w:hanging="360"/>
      </w:pPr>
      <w:rPr>
        <w:rFonts w:ascii="Times New Roman" w:eastAsia="Times New Roman" w:hAnsi="Times New Roman" w:cs="Times New Roman" w:hint="default"/>
      </w:rPr>
    </w:lvl>
    <w:lvl w:ilvl="1" w:tplc="04250003">
      <w:start w:val="1"/>
      <w:numFmt w:val="bullet"/>
      <w:lvlText w:val="o"/>
      <w:lvlJc w:val="left"/>
      <w:pPr>
        <w:ind w:left="1081" w:hanging="360"/>
      </w:pPr>
      <w:rPr>
        <w:rFonts w:ascii="Courier New" w:hAnsi="Courier New" w:cs="Courier New" w:hint="default"/>
      </w:rPr>
    </w:lvl>
    <w:lvl w:ilvl="2" w:tplc="04250005">
      <w:start w:val="1"/>
      <w:numFmt w:val="bullet"/>
      <w:lvlText w:val=""/>
      <w:lvlJc w:val="left"/>
      <w:pPr>
        <w:ind w:left="1801" w:hanging="360"/>
      </w:pPr>
      <w:rPr>
        <w:rFonts w:ascii="Wingdings" w:hAnsi="Wingdings" w:hint="default"/>
      </w:rPr>
    </w:lvl>
    <w:lvl w:ilvl="3" w:tplc="04250001">
      <w:start w:val="1"/>
      <w:numFmt w:val="bullet"/>
      <w:lvlText w:val=""/>
      <w:lvlJc w:val="left"/>
      <w:pPr>
        <w:ind w:left="2521" w:hanging="360"/>
      </w:pPr>
      <w:rPr>
        <w:rFonts w:ascii="Symbol" w:hAnsi="Symbol" w:hint="default"/>
      </w:rPr>
    </w:lvl>
    <w:lvl w:ilvl="4" w:tplc="04250003">
      <w:start w:val="1"/>
      <w:numFmt w:val="bullet"/>
      <w:lvlText w:val="o"/>
      <w:lvlJc w:val="left"/>
      <w:pPr>
        <w:ind w:left="3241" w:hanging="360"/>
      </w:pPr>
      <w:rPr>
        <w:rFonts w:ascii="Courier New" w:hAnsi="Courier New" w:cs="Courier New" w:hint="default"/>
      </w:rPr>
    </w:lvl>
    <w:lvl w:ilvl="5" w:tplc="04250005">
      <w:start w:val="1"/>
      <w:numFmt w:val="bullet"/>
      <w:lvlText w:val=""/>
      <w:lvlJc w:val="left"/>
      <w:pPr>
        <w:ind w:left="3961" w:hanging="360"/>
      </w:pPr>
      <w:rPr>
        <w:rFonts w:ascii="Wingdings" w:hAnsi="Wingdings" w:hint="default"/>
      </w:rPr>
    </w:lvl>
    <w:lvl w:ilvl="6" w:tplc="04250001">
      <w:start w:val="1"/>
      <w:numFmt w:val="bullet"/>
      <w:lvlText w:val=""/>
      <w:lvlJc w:val="left"/>
      <w:pPr>
        <w:ind w:left="4681" w:hanging="360"/>
      </w:pPr>
      <w:rPr>
        <w:rFonts w:ascii="Symbol" w:hAnsi="Symbol" w:hint="default"/>
      </w:rPr>
    </w:lvl>
    <w:lvl w:ilvl="7" w:tplc="04250003">
      <w:start w:val="1"/>
      <w:numFmt w:val="bullet"/>
      <w:lvlText w:val="o"/>
      <w:lvlJc w:val="left"/>
      <w:pPr>
        <w:ind w:left="5401" w:hanging="360"/>
      </w:pPr>
      <w:rPr>
        <w:rFonts w:ascii="Courier New" w:hAnsi="Courier New" w:cs="Courier New" w:hint="default"/>
      </w:rPr>
    </w:lvl>
    <w:lvl w:ilvl="8" w:tplc="04250005">
      <w:start w:val="1"/>
      <w:numFmt w:val="bullet"/>
      <w:lvlText w:val=""/>
      <w:lvlJc w:val="left"/>
      <w:pPr>
        <w:ind w:left="6121" w:hanging="360"/>
      </w:pPr>
      <w:rPr>
        <w:rFonts w:ascii="Wingdings" w:hAnsi="Wingdings" w:hint="default"/>
      </w:r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0"/>
  </w:num>
  <w:num w:numId="6">
    <w:abstractNumId w:val="3"/>
  </w:num>
  <w:num w:numId="7">
    <w:abstractNumId w:val="2"/>
  </w:num>
  <w:num w:numId="8">
    <w:abstractNumId w:val="9"/>
  </w:num>
  <w:num w:numId="9">
    <w:abstractNumId w:val="6"/>
  </w:num>
  <w:num w:numId="10">
    <w:abstractNumId w:val="7"/>
  </w:num>
  <w:num w:numId="11">
    <w:abstractNumId w:val="4"/>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908"/>
    <w:rsid w:val="00022766"/>
    <w:rsid w:val="0004592A"/>
    <w:rsid w:val="0004665A"/>
    <w:rsid w:val="00060947"/>
    <w:rsid w:val="00071AAA"/>
    <w:rsid w:val="00073127"/>
    <w:rsid w:val="000913FC"/>
    <w:rsid w:val="000C31BE"/>
    <w:rsid w:val="000C6776"/>
    <w:rsid w:val="000E4F8D"/>
    <w:rsid w:val="00110BCA"/>
    <w:rsid w:val="0012458D"/>
    <w:rsid w:val="00124999"/>
    <w:rsid w:val="0012537A"/>
    <w:rsid w:val="00145C05"/>
    <w:rsid w:val="001746D4"/>
    <w:rsid w:val="0018705B"/>
    <w:rsid w:val="001A69A5"/>
    <w:rsid w:val="001A7D04"/>
    <w:rsid w:val="001B3F4F"/>
    <w:rsid w:val="001C1892"/>
    <w:rsid w:val="001D4CFB"/>
    <w:rsid w:val="001E782E"/>
    <w:rsid w:val="002008A2"/>
    <w:rsid w:val="00202B38"/>
    <w:rsid w:val="00210963"/>
    <w:rsid w:val="0022269C"/>
    <w:rsid w:val="0022406A"/>
    <w:rsid w:val="00247641"/>
    <w:rsid w:val="0026456A"/>
    <w:rsid w:val="002835BB"/>
    <w:rsid w:val="00293449"/>
    <w:rsid w:val="002C3197"/>
    <w:rsid w:val="002D4F8F"/>
    <w:rsid w:val="002F254F"/>
    <w:rsid w:val="00354059"/>
    <w:rsid w:val="003642B9"/>
    <w:rsid w:val="00394DCB"/>
    <w:rsid w:val="003B2A9C"/>
    <w:rsid w:val="003B4D7F"/>
    <w:rsid w:val="0041708A"/>
    <w:rsid w:val="0042578C"/>
    <w:rsid w:val="00435A13"/>
    <w:rsid w:val="00437E68"/>
    <w:rsid w:val="0044084D"/>
    <w:rsid w:val="00455A9D"/>
    <w:rsid w:val="0047547D"/>
    <w:rsid w:val="004A3512"/>
    <w:rsid w:val="004A7AF5"/>
    <w:rsid w:val="004C1391"/>
    <w:rsid w:val="004F087F"/>
    <w:rsid w:val="0050252A"/>
    <w:rsid w:val="00505F9E"/>
    <w:rsid w:val="00546204"/>
    <w:rsid w:val="00551E24"/>
    <w:rsid w:val="00553870"/>
    <w:rsid w:val="00557534"/>
    <w:rsid w:val="00560A92"/>
    <w:rsid w:val="0056160C"/>
    <w:rsid w:val="00564569"/>
    <w:rsid w:val="00566D45"/>
    <w:rsid w:val="005B5CE1"/>
    <w:rsid w:val="005C4FAF"/>
    <w:rsid w:val="005E3AED"/>
    <w:rsid w:val="005E45BB"/>
    <w:rsid w:val="00602834"/>
    <w:rsid w:val="00680609"/>
    <w:rsid w:val="00684EDC"/>
    <w:rsid w:val="006E16BD"/>
    <w:rsid w:val="006F3BB9"/>
    <w:rsid w:val="006F72D7"/>
    <w:rsid w:val="007056E1"/>
    <w:rsid w:val="00713327"/>
    <w:rsid w:val="007261C6"/>
    <w:rsid w:val="0075695A"/>
    <w:rsid w:val="0076054B"/>
    <w:rsid w:val="00793A3C"/>
    <w:rsid w:val="007A1DE8"/>
    <w:rsid w:val="007D54FC"/>
    <w:rsid w:val="007E666B"/>
    <w:rsid w:val="007E7909"/>
    <w:rsid w:val="007F55B0"/>
    <w:rsid w:val="00802F9A"/>
    <w:rsid w:val="00814B3B"/>
    <w:rsid w:val="00835858"/>
    <w:rsid w:val="00842631"/>
    <w:rsid w:val="00851DD8"/>
    <w:rsid w:val="00854557"/>
    <w:rsid w:val="00862205"/>
    <w:rsid w:val="008919F2"/>
    <w:rsid w:val="008D4634"/>
    <w:rsid w:val="008E0908"/>
    <w:rsid w:val="008E0C31"/>
    <w:rsid w:val="008E79A9"/>
    <w:rsid w:val="008F0B50"/>
    <w:rsid w:val="00914B2C"/>
    <w:rsid w:val="0091786B"/>
    <w:rsid w:val="00932CDE"/>
    <w:rsid w:val="009370A4"/>
    <w:rsid w:val="009709A8"/>
    <w:rsid w:val="00974B2E"/>
    <w:rsid w:val="00986BA8"/>
    <w:rsid w:val="00996E9F"/>
    <w:rsid w:val="009C4A9A"/>
    <w:rsid w:val="009E3BD4"/>
    <w:rsid w:val="009E7F4A"/>
    <w:rsid w:val="00A06163"/>
    <w:rsid w:val="00A10E66"/>
    <w:rsid w:val="00A1244E"/>
    <w:rsid w:val="00A3360C"/>
    <w:rsid w:val="00AA41E1"/>
    <w:rsid w:val="00AC6187"/>
    <w:rsid w:val="00AD2EA7"/>
    <w:rsid w:val="00AE2AD9"/>
    <w:rsid w:val="00B044A7"/>
    <w:rsid w:val="00B256BD"/>
    <w:rsid w:val="00B2678A"/>
    <w:rsid w:val="00B30622"/>
    <w:rsid w:val="00B358EA"/>
    <w:rsid w:val="00B56394"/>
    <w:rsid w:val="00BC0F3A"/>
    <w:rsid w:val="00BC1A62"/>
    <w:rsid w:val="00BD0540"/>
    <w:rsid w:val="00BD078E"/>
    <w:rsid w:val="00BD3CCF"/>
    <w:rsid w:val="00BF4D7C"/>
    <w:rsid w:val="00C24F66"/>
    <w:rsid w:val="00C27B07"/>
    <w:rsid w:val="00C41FC5"/>
    <w:rsid w:val="00C72A3D"/>
    <w:rsid w:val="00C83346"/>
    <w:rsid w:val="00C90E39"/>
    <w:rsid w:val="00CA583B"/>
    <w:rsid w:val="00CA5F0B"/>
    <w:rsid w:val="00CF2B77"/>
    <w:rsid w:val="00CF4303"/>
    <w:rsid w:val="00D32496"/>
    <w:rsid w:val="00D40650"/>
    <w:rsid w:val="00D559F8"/>
    <w:rsid w:val="00D67D59"/>
    <w:rsid w:val="00D8202D"/>
    <w:rsid w:val="00D94896"/>
    <w:rsid w:val="00DB08EE"/>
    <w:rsid w:val="00DB7003"/>
    <w:rsid w:val="00DF382E"/>
    <w:rsid w:val="00DF44DF"/>
    <w:rsid w:val="00DF786E"/>
    <w:rsid w:val="00E023F6"/>
    <w:rsid w:val="00E03DBB"/>
    <w:rsid w:val="00E16278"/>
    <w:rsid w:val="00EB3D96"/>
    <w:rsid w:val="00EE7E6B"/>
    <w:rsid w:val="00EF02DA"/>
    <w:rsid w:val="00F1356E"/>
    <w:rsid w:val="00F25A4E"/>
    <w:rsid w:val="00F72826"/>
    <w:rsid w:val="00F9645B"/>
    <w:rsid w:val="00FB3279"/>
    <w:rsid w:val="00FF28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7D7153"/>
  <w15:docId w15:val="{5A02502E-2C33-409D-B40C-F9514D03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1">
    <w:name w:val="heading 1"/>
    <w:basedOn w:val="Normal"/>
    <w:next w:val="Normal"/>
    <w:link w:val="Heading1Char"/>
    <w:uiPriority w:val="9"/>
    <w:qFormat/>
    <w:rsid w:val="00B358E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EE7E6B"/>
    <w:pPr>
      <w:widowControl w:val="0"/>
      <w:suppressAutoHyphens/>
      <w:jc w:val="right"/>
    </w:pPr>
    <w:rPr>
      <w:rFonts w:eastAsia="SimSun" w:cs="Mangal"/>
      <w:color w:val="FF0000"/>
      <w:kern w:val="1"/>
      <w:sz w:val="24"/>
      <w:szCs w:val="32"/>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18705B"/>
    <w:pPr>
      <w:jc w:val="both"/>
    </w:pPr>
    <w:rPr>
      <w:rFonts w:eastAsia="SimSun" w:cs="Mangal"/>
      <w:kern w:val="1"/>
      <w:sz w:val="24"/>
      <w:szCs w:val="24"/>
      <w:lang w:eastAsia="zh-CN" w:bidi="hi-IN"/>
    </w:rPr>
  </w:style>
  <w:style w:type="paragraph" w:customStyle="1" w:styleId="Kuupev1">
    <w:name w:val="Kuupäev1"/>
    <w:autoRedefine/>
    <w:qFormat/>
    <w:rsid w:val="00566D45"/>
    <w:pPr>
      <w:spacing w:before="840"/>
      <w:jc w:val="right"/>
    </w:pPr>
    <w:rPr>
      <w:rFonts w:eastAsia="SimSun"/>
      <w:kern w:val="24"/>
      <w:sz w:val="24"/>
      <w:szCs w:val="24"/>
      <w:lang w:eastAsia="zh-CN" w:bidi="hi-IN"/>
    </w:rPr>
  </w:style>
  <w:style w:type="paragraph" w:customStyle="1" w:styleId="Liik">
    <w:name w:val="Liik"/>
    <w:autoRedefine/>
    <w:qFormat/>
    <w:rsid w:val="00F72826"/>
    <w:rPr>
      <w:rFonts w:eastAsia="SimSun"/>
      <w:caps/>
      <w:spacing w:val="20"/>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90E39"/>
    <w:rPr>
      <w:rFonts w:ascii="Tahoma" w:eastAsia="SimSun" w:hAnsi="Tahoma" w:cs="Mangal"/>
      <w:kern w:val="1"/>
      <w:sz w:val="16"/>
      <w:szCs w:val="14"/>
      <w:lang w:eastAsia="zh-CN" w:bidi="hi-IN"/>
    </w:rPr>
  </w:style>
  <w:style w:type="character" w:customStyle="1" w:styleId="Heading1Char">
    <w:name w:val="Heading 1 Char"/>
    <w:basedOn w:val="DefaultParagraphFont"/>
    <w:link w:val="Heading1"/>
    <w:uiPriority w:val="9"/>
    <w:rsid w:val="00B358EA"/>
    <w:rPr>
      <w:rFonts w:asciiTheme="majorHAnsi" w:eastAsiaTheme="majorEastAsia" w:hAnsiTheme="majorHAnsi" w:cs="Mangal"/>
      <w:b/>
      <w:bCs/>
      <w:color w:val="365F91" w:themeColor="accent1" w:themeShade="BF"/>
      <w:kern w:val="1"/>
      <w:sz w:val="28"/>
      <w:szCs w:val="25"/>
      <w:lang w:eastAsia="zh-CN" w:bidi="hi-IN"/>
    </w:rPr>
  </w:style>
  <w:style w:type="paragraph" w:styleId="NormalWeb">
    <w:name w:val="Normal (Web)"/>
    <w:basedOn w:val="Normal"/>
    <w:uiPriority w:val="99"/>
    <w:semiHidden/>
    <w:unhideWhenUsed/>
    <w:rsid w:val="00B358EA"/>
    <w:rPr>
      <w:rFonts w:cs="Mangal"/>
      <w:szCs w:val="21"/>
    </w:rPr>
  </w:style>
  <w:style w:type="paragraph" w:customStyle="1" w:styleId="allikirjastajanimi">
    <w:name w:val="allikirjastaja:nimi"/>
    <w:basedOn w:val="Normal"/>
    <w:next w:val="Normal"/>
    <w:rsid w:val="0018705B"/>
    <w:pPr>
      <w:widowControl/>
      <w:suppressAutoHyphens w:val="0"/>
      <w:spacing w:line="240" w:lineRule="auto"/>
      <w:jc w:val="left"/>
    </w:pPr>
    <w:rPr>
      <w:rFonts w:eastAsia="Times New Roman"/>
      <w:kern w:val="0"/>
      <w:lang w:eastAsia="en-US" w:bidi="ar-SA"/>
    </w:rPr>
  </w:style>
  <w:style w:type="paragraph" w:styleId="ListParagraph">
    <w:name w:val="List Paragraph"/>
    <w:basedOn w:val="Normal"/>
    <w:uiPriority w:val="34"/>
    <w:qFormat/>
    <w:rsid w:val="001B3F4F"/>
    <w:pPr>
      <w:ind w:left="720"/>
      <w:contextualSpacing/>
    </w:pPr>
    <w:rPr>
      <w:rFonts w:cs="Mangal"/>
      <w:szCs w:val="21"/>
    </w:rPr>
  </w:style>
  <w:style w:type="paragraph" w:styleId="FootnoteText">
    <w:name w:val="footnote text"/>
    <w:aliases w:val="Diagrama1,Alustekst"/>
    <w:basedOn w:val="Normal"/>
    <w:link w:val="FootnoteTextChar"/>
    <w:uiPriority w:val="2"/>
    <w:unhideWhenUsed/>
    <w:qFormat/>
    <w:rsid w:val="00071AAA"/>
    <w:pPr>
      <w:widowControl/>
      <w:suppressAutoHyphens w:val="0"/>
      <w:spacing w:line="240" w:lineRule="auto"/>
    </w:pPr>
    <w:rPr>
      <w:rFonts w:ascii="Arial" w:eastAsiaTheme="minorHAnsi" w:hAnsi="Arial" w:cs="Arial"/>
      <w:kern w:val="0"/>
      <w:sz w:val="20"/>
      <w:szCs w:val="20"/>
      <w:lang w:eastAsia="en-US" w:bidi="ar-SA"/>
    </w:rPr>
  </w:style>
  <w:style w:type="character" w:customStyle="1" w:styleId="FootnoteTextChar">
    <w:name w:val="Footnote Text Char"/>
    <w:aliases w:val="Diagrama1 Char,Alustekst Char"/>
    <w:basedOn w:val="DefaultParagraphFont"/>
    <w:link w:val="FootnoteText"/>
    <w:uiPriority w:val="2"/>
    <w:rsid w:val="00071AAA"/>
    <w:rPr>
      <w:rFonts w:ascii="Arial" w:eastAsiaTheme="minorHAnsi" w:hAnsi="Arial" w:cs="Arial"/>
      <w:lang w:eastAsia="en-US"/>
    </w:rPr>
  </w:style>
  <w:style w:type="character" w:styleId="FootnoteReference">
    <w:name w:val="footnote reference"/>
    <w:aliases w:val="Footnote sign,Style 4,Footnote Reference Number,fr,Footnote symbol,SUPERS,Footnote reference number,note TESI,-E Fußnotenzeichen,number,Footnote number,Footnote Reference Superscript,Footnote reference superscritp,BVI fnr,stylish,Ref"/>
    <w:basedOn w:val="DefaultParagraphFont"/>
    <w:uiPriority w:val="2"/>
    <w:qFormat/>
    <w:rsid w:val="00071AA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5279">
      <w:bodyDiv w:val="1"/>
      <w:marLeft w:val="0"/>
      <w:marRight w:val="0"/>
      <w:marTop w:val="0"/>
      <w:marBottom w:val="0"/>
      <w:divBdr>
        <w:top w:val="none" w:sz="0" w:space="0" w:color="auto"/>
        <w:left w:val="none" w:sz="0" w:space="0" w:color="auto"/>
        <w:bottom w:val="none" w:sz="0" w:space="0" w:color="auto"/>
        <w:right w:val="none" w:sz="0" w:space="0" w:color="auto"/>
      </w:divBdr>
    </w:div>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156458205">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211766379">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6407292">
      <w:bodyDiv w:val="1"/>
      <w:marLeft w:val="0"/>
      <w:marRight w:val="0"/>
      <w:marTop w:val="0"/>
      <w:marBottom w:val="0"/>
      <w:divBdr>
        <w:top w:val="none" w:sz="0" w:space="0" w:color="auto"/>
        <w:left w:val="none" w:sz="0" w:space="0" w:color="auto"/>
        <w:bottom w:val="none" w:sz="0" w:space="0" w:color="auto"/>
        <w:right w:val="none" w:sz="0" w:space="0" w:color="auto"/>
      </w:divBdr>
    </w:div>
    <w:div w:id="1998265359">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iit%20Vunk\PT%20ja%20EhLoa%20menetlused\Ehitusloa%20p&#245;hi%20TAOsse\Tee-ehitusluba_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32B57EA-5DD5-41AB-91A1-5A3B40772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Tee-ehitusluba_3</Template>
  <TotalTime>0</TotalTime>
  <Pages>3</Pages>
  <Words>1408</Words>
  <Characters>8172</Characters>
  <Application>Microsoft Office Word</Application>
  <DocSecurity>0</DocSecurity>
  <Lines>68</Lines>
  <Paragraphs>19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Majandus- ja Kommunikatsiooniministeerium</Company>
  <LinksUpToDate>false</LinksUpToDate>
  <CharactersWithSpaces>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Tiit Vunk</dc:creator>
  <cp:lastModifiedBy>mso service</cp:lastModifiedBy>
  <cp:revision>2</cp:revision>
  <cp:lastPrinted>2014-04-02T13:57:00Z</cp:lastPrinted>
  <dcterms:created xsi:type="dcterms:W3CDTF">2024-07-25T08:28:00Z</dcterms:created>
  <dcterms:modified xsi:type="dcterms:W3CDTF">2024-07-25T08:28:00Z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{reg.kpv}</vt:lpwstr>
  </property>
  <property fmtid="{D5CDD505-2E9C-101B-9397-08002B2CF9AE}" pid="3" name="delta_regNumber">
    <vt:lpwstr>{viit}</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{ametikoht}</vt:lpwstr>
  </property>
  <property fmtid="{D5CDD505-2E9C-101B-9397-08002B2CF9AE}" pid="7" name="delta_accessRestrictionBeginDate">
    <vt:lpwstr>{kehtivuse algus}</vt:lpwstr>
  </property>
  <property fmtid="{D5CDD505-2E9C-101B-9397-08002B2CF9AE}" pid="8" name="delta_accessRestrictionEndDate">
    <vt:lpwstr>{kehtiv kuni}</vt:lpwstr>
  </property>
  <property fmtid="{D5CDD505-2E9C-101B-9397-08002B2CF9AE}" pid="9" name="delta_accessRestrictionReason">
    <vt:lpwstr>{alus}</vt:lpwstr>
  </property>
</Properties>
</file>